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54384">
      <w:pPr>
        <w:pStyle w:val="10"/>
        <w:spacing w:line="580" w:lineRule="exact"/>
        <w:jc w:val="center"/>
        <w:rPr>
          <w:rFonts w:hint="default" w:ascii="黑体" w:hAnsi="黑体" w:eastAsia="黑体" w:cs="黑体"/>
          <w:bCs/>
          <w:color w:val="auto"/>
          <w:sz w:val="52"/>
          <w:szCs w:val="52"/>
          <w:highlight w:val="none"/>
          <w:lang w:val="en-US" w:eastAsia="zh-CN"/>
        </w:rPr>
      </w:pPr>
    </w:p>
    <w:p w14:paraId="4AE6BFB8">
      <w:pPr>
        <w:pStyle w:val="10"/>
        <w:spacing w:line="580" w:lineRule="exact"/>
        <w:jc w:val="center"/>
        <w:rPr>
          <w:rFonts w:ascii="黑体" w:hAnsi="黑体" w:eastAsia="黑体" w:cs="黑体"/>
          <w:bCs/>
          <w:color w:val="auto"/>
          <w:sz w:val="52"/>
          <w:szCs w:val="52"/>
          <w:highlight w:val="none"/>
          <w:lang w:eastAsia="zh-CN"/>
        </w:rPr>
      </w:pPr>
    </w:p>
    <w:p w14:paraId="218A28C9">
      <w:pPr>
        <w:pStyle w:val="10"/>
        <w:spacing w:line="580" w:lineRule="exact"/>
        <w:jc w:val="center"/>
        <w:rPr>
          <w:rFonts w:ascii="黑体" w:hAnsi="黑体" w:eastAsia="黑体" w:cs="黑体"/>
          <w:bCs/>
          <w:color w:val="auto"/>
          <w:sz w:val="52"/>
          <w:szCs w:val="52"/>
          <w:highlight w:val="none"/>
          <w:lang w:eastAsia="zh-CN"/>
        </w:rPr>
      </w:pPr>
      <w:r>
        <w:rPr>
          <w:rFonts w:hint="eastAsia" w:ascii="黑体" w:hAnsi="黑体" w:eastAsia="黑体" w:cs="黑体"/>
          <w:bCs/>
          <w:color w:val="auto"/>
          <w:sz w:val="52"/>
          <w:szCs w:val="52"/>
          <w:highlight w:val="none"/>
          <w:lang w:eastAsia="zh-CN"/>
        </w:rPr>
        <w:drawing>
          <wp:anchor distT="0" distB="0" distL="114300" distR="114300" simplePos="0" relativeHeight="251663360" behindDoc="1" locked="0" layoutInCell="1" allowOverlap="1">
            <wp:simplePos x="0" y="0"/>
            <wp:positionH relativeFrom="column">
              <wp:posOffset>748030</wp:posOffset>
            </wp:positionH>
            <wp:positionV relativeFrom="paragraph">
              <wp:posOffset>306070</wp:posOffset>
            </wp:positionV>
            <wp:extent cx="3914775" cy="871855"/>
            <wp:effectExtent l="0" t="0" r="9525" b="4445"/>
            <wp:wrapTight wrapText="bothSides">
              <wp:wrapPolygon>
                <wp:start x="0" y="0"/>
                <wp:lineTo x="0" y="21238"/>
                <wp:lineTo x="21547" y="21238"/>
                <wp:lineTo x="21547" y="0"/>
                <wp:lineTo x="0" y="0"/>
              </wp:wrapPolygon>
            </wp:wrapTight>
            <wp:docPr id="1" name="图片 1" descr="新校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新校标"/>
                    <pic:cNvPicPr>
                      <a:picLocks noChangeAspect="1"/>
                    </pic:cNvPicPr>
                  </pic:nvPicPr>
                  <pic:blipFill>
                    <a:blip r:embed="rId11"/>
                    <a:stretch>
                      <a:fillRect/>
                    </a:stretch>
                  </pic:blipFill>
                  <pic:spPr>
                    <a:xfrm>
                      <a:off x="0" y="0"/>
                      <a:ext cx="3914775" cy="871855"/>
                    </a:xfrm>
                    <a:prstGeom prst="rect">
                      <a:avLst/>
                    </a:prstGeom>
                  </pic:spPr>
                </pic:pic>
              </a:graphicData>
            </a:graphic>
          </wp:anchor>
        </w:drawing>
      </w:r>
    </w:p>
    <w:p w14:paraId="16CEE790">
      <w:pPr>
        <w:pStyle w:val="10"/>
        <w:spacing w:line="580" w:lineRule="exact"/>
        <w:jc w:val="center"/>
        <w:rPr>
          <w:rFonts w:ascii="黑体" w:hAnsi="黑体" w:eastAsia="黑体" w:cs="黑体"/>
          <w:bCs/>
          <w:color w:val="auto"/>
          <w:sz w:val="52"/>
          <w:szCs w:val="52"/>
          <w:highlight w:val="none"/>
          <w:lang w:eastAsia="zh-CN"/>
        </w:rPr>
      </w:pPr>
    </w:p>
    <w:p w14:paraId="5ED3F832">
      <w:pPr>
        <w:pStyle w:val="10"/>
        <w:spacing w:line="580" w:lineRule="exact"/>
        <w:jc w:val="center"/>
        <w:rPr>
          <w:rFonts w:ascii="黑体" w:hAnsi="黑体" w:eastAsia="黑体" w:cs="黑体"/>
          <w:bCs/>
          <w:color w:val="auto"/>
          <w:sz w:val="52"/>
          <w:szCs w:val="52"/>
          <w:highlight w:val="none"/>
          <w:lang w:eastAsia="zh-CN"/>
        </w:rPr>
      </w:pPr>
    </w:p>
    <w:p w14:paraId="210F4DEC">
      <w:pPr>
        <w:pStyle w:val="10"/>
        <w:spacing w:line="580" w:lineRule="exact"/>
        <w:jc w:val="center"/>
        <w:rPr>
          <w:rFonts w:ascii="黑体" w:hAnsi="黑体" w:eastAsia="黑体" w:cs="黑体"/>
          <w:bCs/>
          <w:color w:val="auto"/>
          <w:sz w:val="52"/>
          <w:szCs w:val="52"/>
          <w:highlight w:val="none"/>
          <w:lang w:eastAsia="zh-CN"/>
        </w:rPr>
      </w:pPr>
    </w:p>
    <w:p w14:paraId="7948391D">
      <w:pPr>
        <w:pStyle w:val="10"/>
        <w:spacing w:line="580" w:lineRule="exact"/>
        <w:jc w:val="center"/>
        <w:rPr>
          <w:rFonts w:ascii="黑体" w:hAnsi="黑体" w:eastAsia="黑体" w:cs="黑体"/>
          <w:bCs/>
          <w:color w:val="auto"/>
          <w:sz w:val="52"/>
          <w:szCs w:val="52"/>
          <w:highlight w:val="none"/>
          <w:lang w:eastAsia="zh-CN"/>
        </w:rPr>
      </w:pPr>
    </w:p>
    <w:p w14:paraId="25CF34DC">
      <w:pPr>
        <w:pStyle w:val="10"/>
        <w:spacing w:line="580" w:lineRule="exact"/>
        <w:jc w:val="center"/>
        <w:rPr>
          <w:rFonts w:ascii="楷体" w:hAnsi="楷体" w:eastAsia="楷体"/>
          <w:color w:val="auto"/>
          <w:sz w:val="52"/>
          <w:szCs w:val="52"/>
          <w:highlight w:val="none"/>
          <w:lang w:eastAsia="zh-CN"/>
        </w:rPr>
      </w:pPr>
    </w:p>
    <w:p w14:paraId="5FAE73EC">
      <w:pPr>
        <w:pStyle w:val="10"/>
        <w:spacing w:line="580" w:lineRule="exact"/>
        <w:jc w:val="center"/>
        <w:rPr>
          <w:rFonts w:ascii="楷体" w:hAnsi="楷体" w:eastAsia="楷体"/>
          <w:color w:val="auto"/>
          <w:sz w:val="52"/>
          <w:szCs w:val="52"/>
          <w:highlight w:val="none"/>
          <w:lang w:eastAsia="zh-CN"/>
        </w:rPr>
      </w:pPr>
    </w:p>
    <w:p w14:paraId="78A58DBE">
      <w:pPr>
        <w:pStyle w:val="10"/>
        <w:spacing w:line="580" w:lineRule="exact"/>
        <w:jc w:val="center"/>
        <w:rPr>
          <w:rFonts w:ascii="楷体" w:hAnsi="楷体" w:eastAsia="楷体"/>
          <w:color w:val="auto"/>
          <w:sz w:val="52"/>
          <w:szCs w:val="52"/>
          <w:highlight w:val="none"/>
          <w:lang w:eastAsia="zh-CN"/>
        </w:rPr>
      </w:pPr>
      <w:bookmarkStart w:id="112" w:name="_GoBack"/>
      <w:bookmarkEnd w:id="112"/>
    </w:p>
    <w:p w14:paraId="78EF6ADB">
      <w:pPr>
        <w:pStyle w:val="10"/>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ascii="黑体" w:hAnsi="黑体" w:eastAsia="黑体" w:cs="黑体"/>
          <w:b w:val="0"/>
          <w:bCs/>
          <w:sz w:val="72"/>
          <w:szCs w:val="72"/>
          <w:highlight w:val="none"/>
          <w:lang w:eastAsia="zh-CN"/>
        </w:rPr>
      </w:pPr>
      <w:r>
        <w:rPr>
          <w:rFonts w:hint="eastAsia" w:ascii="黑体" w:hAnsi="黑体" w:eastAsia="黑体" w:cs="黑体"/>
          <w:b w:val="0"/>
          <w:bCs/>
          <w:sz w:val="72"/>
          <w:szCs w:val="72"/>
          <w:highlight w:val="none"/>
          <w:lang w:eastAsia="zh-CN"/>
        </w:rPr>
        <w:t>202</w:t>
      </w:r>
      <w:r>
        <w:rPr>
          <w:rFonts w:hint="eastAsia" w:ascii="黑体" w:hAnsi="黑体" w:eastAsia="黑体" w:cs="黑体"/>
          <w:b w:val="0"/>
          <w:bCs/>
          <w:sz w:val="72"/>
          <w:szCs w:val="72"/>
          <w:highlight w:val="none"/>
          <w:lang w:val="en-US" w:eastAsia="zh-CN"/>
        </w:rPr>
        <w:t>4</w:t>
      </w:r>
      <w:r>
        <w:rPr>
          <w:rFonts w:hint="eastAsia" w:ascii="黑体" w:hAnsi="黑体" w:eastAsia="黑体" w:cs="黑体"/>
          <w:b w:val="0"/>
          <w:bCs/>
          <w:sz w:val="72"/>
          <w:szCs w:val="72"/>
          <w:highlight w:val="none"/>
          <w:lang w:eastAsia="zh-CN"/>
        </w:rPr>
        <w:t xml:space="preserve"> ～ 202</w:t>
      </w:r>
      <w:r>
        <w:rPr>
          <w:rFonts w:hint="eastAsia" w:ascii="黑体" w:hAnsi="黑体" w:eastAsia="黑体" w:cs="黑体"/>
          <w:b w:val="0"/>
          <w:bCs/>
          <w:sz w:val="72"/>
          <w:szCs w:val="72"/>
          <w:highlight w:val="none"/>
          <w:lang w:val="en-US" w:eastAsia="zh-CN"/>
        </w:rPr>
        <w:t>5</w:t>
      </w:r>
      <w:r>
        <w:rPr>
          <w:rFonts w:hint="eastAsia" w:ascii="黑体" w:hAnsi="黑体" w:eastAsia="黑体" w:cs="黑体"/>
          <w:b w:val="0"/>
          <w:bCs/>
          <w:sz w:val="72"/>
          <w:szCs w:val="72"/>
          <w:highlight w:val="none"/>
          <w:lang w:eastAsia="zh-CN"/>
        </w:rPr>
        <w:t xml:space="preserve"> 学 年</w:t>
      </w:r>
    </w:p>
    <w:p w14:paraId="21DA1335">
      <w:pPr>
        <w:pStyle w:val="10"/>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ascii="黑体" w:hAnsi="黑体" w:eastAsia="黑体" w:cs="黑体"/>
          <w:b w:val="0"/>
          <w:bCs/>
          <w:sz w:val="72"/>
          <w:szCs w:val="72"/>
          <w:highlight w:val="none"/>
          <w:lang w:eastAsia="zh-CN"/>
        </w:rPr>
      </w:pPr>
    </w:p>
    <w:p w14:paraId="1B221DEF">
      <w:pPr>
        <w:pStyle w:val="10"/>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ascii="黑体" w:hAnsi="黑体" w:eastAsia="黑体"/>
          <w:b w:val="0"/>
          <w:bCs/>
          <w:sz w:val="72"/>
          <w:szCs w:val="72"/>
          <w:highlight w:val="none"/>
          <w:lang w:eastAsia="zh-CN"/>
        </w:rPr>
      </w:pPr>
      <w:r>
        <w:rPr>
          <w:rFonts w:hint="eastAsia" w:ascii="黑体" w:hAnsi="黑体" w:eastAsia="黑体" w:cs="黑体"/>
          <w:b w:val="0"/>
          <w:bCs/>
          <w:sz w:val="72"/>
          <w:szCs w:val="72"/>
          <w:highlight w:val="none"/>
          <w:lang w:eastAsia="zh-CN"/>
        </w:rPr>
        <w:t>本 科 教 学 质 量 报 告</w:t>
      </w:r>
    </w:p>
    <w:p w14:paraId="0C42FD0E">
      <w:pPr>
        <w:pStyle w:val="10"/>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ascii="仿宋" w:hAnsi="仿宋" w:eastAsia="仿宋"/>
          <w:sz w:val="44"/>
          <w:szCs w:val="44"/>
          <w:highlight w:val="none"/>
          <w:lang w:eastAsia="zh-CN"/>
        </w:rPr>
      </w:pPr>
    </w:p>
    <w:p w14:paraId="16DDD4E2">
      <w:pPr>
        <w:pStyle w:val="10"/>
        <w:spacing w:line="580" w:lineRule="exact"/>
        <w:jc w:val="center"/>
        <w:rPr>
          <w:rFonts w:ascii="仿宋" w:hAnsi="仿宋" w:eastAsia="仿宋"/>
          <w:b/>
          <w:bCs/>
          <w:sz w:val="44"/>
          <w:szCs w:val="44"/>
          <w:highlight w:val="none"/>
          <w:lang w:eastAsia="zh-CN"/>
        </w:rPr>
      </w:pPr>
    </w:p>
    <w:p w14:paraId="1CD6E65E">
      <w:pPr>
        <w:pStyle w:val="10"/>
        <w:spacing w:line="580" w:lineRule="exact"/>
        <w:rPr>
          <w:rFonts w:ascii="仿宋_GB2312" w:eastAsia="仿宋_GB2312"/>
          <w:sz w:val="44"/>
          <w:szCs w:val="44"/>
          <w:highlight w:val="none"/>
          <w:lang w:eastAsia="zh-CN"/>
        </w:rPr>
      </w:pPr>
    </w:p>
    <w:p w14:paraId="165111A0">
      <w:pPr>
        <w:pStyle w:val="10"/>
        <w:spacing w:line="580" w:lineRule="exact"/>
        <w:rPr>
          <w:rFonts w:ascii="仿宋_GB2312" w:eastAsia="仿宋_GB2312"/>
          <w:sz w:val="44"/>
          <w:szCs w:val="44"/>
          <w:highlight w:val="none"/>
          <w:lang w:eastAsia="zh-CN"/>
        </w:rPr>
      </w:pPr>
    </w:p>
    <w:p w14:paraId="140F114D">
      <w:pPr>
        <w:pStyle w:val="10"/>
        <w:spacing w:line="580" w:lineRule="exact"/>
        <w:rPr>
          <w:rFonts w:ascii="仿宋_GB2312" w:eastAsia="仿宋_GB2312"/>
          <w:sz w:val="44"/>
          <w:szCs w:val="44"/>
          <w:highlight w:val="none"/>
          <w:lang w:eastAsia="zh-CN"/>
        </w:rPr>
      </w:pPr>
    </w:p>
    <w:p w14:paraId="0B576D23">
      <w:pPr>
        <w:pStyle w:val="10"/>
        <w:spacing w:line="580" w:lineRule="exact"/>
        <w:rPr>
          <w:rFonts w:ascii="仿宋_GB2312" w:eastAsia="仿宋_GB2312"/>
          <w:sz w:val="44"/>
          <w:szCs w:val="44"/>
          <w:highlight w:val="none"/>
          <w:lang w:eastAsia="zh-CN"/>
        </w:rPr>
      </w:pPr>
    </w:p>
    <w:p w14:paraId="692D2DCE">
      <w:pPr>
        <w:pStyle w:val="10"/>
        <w:spacing w:line="580" w:lineRule="exact"/>
        <w:rPr>
          <w:rFonts w:ascii="黑体" w:hAnsi="黑体" w:eastAsia="黑体" w:cs="黑体"/>
          <w:sz w:val="40"/>
          <w:szCs w:val="40"/>
          <w:highlight w:val="none"/>
          <w:lang w:eastAsia="zh-CN"/>
        </w:rPr>
      </w:pPr>
    </w:p>
    <w:p w14:paraId="4EE3DC66">
      <w:pPr>
        <w:pStyle w:val="10"/>
        <w:spacing w:line="580" w:lineRule="exact"/>
        <w:jc w:val="center"/>
        <w:rPr>
          <w:rFonts w:ascii="黑体" w:hAnsi="黑体" w:eastAsia="黑体" w:cs="黑体"/>
          <w:sz w:val="40"/>
          <w:szCs w:val="40"/>
          <w:highlight w:val="none"/>
          <w:lang w:eastAsia="zh-CN"/>
        </w:rPr>
      </w:pPr>
      <w:r>
        <w:rPr>
          <w:rFonts w:hint="eastAsia" w:ascii="黑体" w:hAnsi="黑体" w:eastAsia="黑体" w:cs="黑体"/>
          <w:sz w:val="40"/>
          <w:szCs w:val="40"/>
          <w:highlight w:val="none"/>
          <w:lang w:eastAsia="zh-CN"/>
        </w:rPr>
        <w:t>二〇二</w:t>
      </w:r>
      <w:r>
        <w:rPr>
          <w:rFonts w:hint="eastAsia" w:ascii="黑体" w:hAnsi="黑体" w:eastAsia="黑体" w:cs="黑体"/>
          <w:sz w:val="40"/>
          <w:szCs w:val="40"/>
          <w:highlight w:val="none"/>
          <w:lang w:val="en-US" w:eastAsia="zh-CN"/>
        </w:rPr>
        <w:t>五</w:t>
      </w:r>
      <w:r>
        <w:rPr>
          <w:rFonts w:hint="eastAsia" w:ascii="黑体" w:hAnsi="黑体" w:eastAsia="黑体" w:cs="黑体"/>
          <w:sz w:val="40"/>
          <w:szCs w:val="40"/>
          <w:highlight w:val="none"/>
          <w:lang w:eastAsia="zh-CN"/>
        </w:rPr>
        <w:t>年</w:t>
      </w:r>
      <w:r>
        <w:rPr>
          <w:rFonts w:hint="eastAsia" w:ascii="黑体" w:hAnsi="黑体" w:eastAsia="黑体" w:cs="黑体"/>
          <w:sz w:val="40"/>
          <w:szCs w:val="40"/>
          <w:highlight w:val="none"/>
          <w:lang w:val="en-US" w:eastAsia="zh-CN"/>
        </w:rPr>
        <w:t>十一</w:t>
      </w:r>
      <w:r>
        <w:rPr>
          <w:rFonts w:hint="eastAsia" w:ascii="黑体" w:hAnsi="黑体" w:eastAsia="黑体" w:cs="黑体"/>
          <w:sz w:val="40"/>
          <w:szCs w:val="40"/>
          <w:highlight w:val="none"/>
          <w:lang w:eastAsia="zh-CN"/>
        </w:rPr>
        <w:t>月</w:t>
      </w:r>
    </w:p>
    <w:p w14:paraId="2721DC6D">
      <w:pPr>
        <w:pStyle w:val="10"/>
        <w:spacing w:line="580" w:lineRule="exact"/>
        <w:rPr>
          <w:rFonts w:ascii="仿宋_GB2312" w:eastAsia="仿宋_GB2312"/>
          <w:sz w:val="44"/>
          <w:szCs w:val="44"/>
          <w:highlight w:val="none"/>
          <w:lang w:eastAsia="zh-CN"/>
        </w:rPr>
      </w:pPr>
    </w:p>
    <w:p w14:paraId="0BAB6F08">
      <w:pPr>
        <w:pStyle w:val="18"/>
        <w:ind w:firstLine="0" w:firstLineChars="0"/>
        <w:jc w:val="center"/>
        <w:rPr>
          <w:rFonts w:ascii="黑体" w:hAnsi="黑体" w:eastAsia="黑体" w:cs="黑体"/>
          <w:b/>
          <w:bCs/>
          <w:sz w:val="36"/>
          <w:szCs w:val="36"/>
          <w:highlight w:val="none"/>
          <w:lang w:eastAsia="zh-CN"/>
        </w:rPr>
        <w:sectPr>
          <w:headerReference r:id="rId3" w:type="default"/>
          <w:pgSz w:w="11900" w:h="16840"/>
          <w:pgMar w:top="1440" w:right="1474" w:bottom="1440" w:left="1587" w:header="567" w:footer="1058" w:gutter="0"/>
          <w:pgNumType w:start="1"/>
          <w:cols w:space="720" w:num="1"/>
          <w:titlePg/>
        </w:sectPr>
      </w:pPr>
    </w:p>
    <w:p w14:paraId="68CF5481">
      <w:pPr>
        <w:jc w:val="center"/>
        <w:rPr>
          <w:rFonts w:ascii="黑体" w:hAnsi="黑体" w:eastAsia="黑体" w:cs="黑体"/>
          <w:b/>
          <w:bCs/>
          <w:spacing w:val="9"/>
          <w:sz w:val="36"/>
          <w:szCs w:val="36"/>
          <w:highlight w:val="none"/>
          <w:lang w:eastAsia="zh-CN"/>
        </w:rPr>
      </w:pPr>
      <w:bookmarkStart w:id="0" w:name="_Toc23125"/>
    </w:p>
    <w:p w14:paraId="60ED9629">
      <w:pPr>
        <w:jc w:val="center"/>
        <w:outlineLvl w:val="0"/>
        <w:rPr>
          <w:rFonts w:ascii="黑体" w:hAnsi="黑体" w:eastAsia="黑体" w:cs="黑体"/>
          <w:b/>
          <w:bCs/>
          <w:spacing w:val="9"/>
          <w:sz w:val="32"/>
          <w:szCs w:val="32"/>
          <w:highlight w:val="none"/>
          <w:lang w:eastAsia="zh-CN"/>
        </w:rPr>
      </w:pPr>
      <w:bookmarkStart w:id="1" w:name="_Toc32017"/>
      <w:bookmarkStart w:id="2" w:name="_Toc8549"/>
      <w:bookmarkStart w:id="3" w:name="_Toc16378"/>
      <w:bookmarkStart w:id="4" w:name="_Toc20861"/>
      <w:bookmarkStart w:id="5" w:name="_Toc1070"/>
      <w:bookmarkStart w:id="6" w:name="_Toc18697"/>
      <w:r>
        <w:rPr>
          <w:rFonts w:hint="eastAsia" w:ascii="黑体" w:hAnsi="黑体" w:eastAsia="黑体" w:cs="黑体"/>
          <w:b/>
          <w:bCs/>
          <w:spacing w:val="9"/>
          <w:sz w:val="36"/>
          <w:szCs w:val="36"/>
          <w:highlight w:val="none"/>
          <w:lang w:eastAsia="zh-CN"/>
        </w:rPr>
        <w:t>学校概况</w:t>
      </w:r>
      <w:bookmarkEnd w:id="0"/>
      <w:bookmarkEnd w:id="1"/>
      <w:bookmarkEnd w:id="2"/>
      <w:bookmarkEnd w:id="3"/>
      <w:bookmarkEnd w:id="4"/>
      <w:bookmarkEnd w:id="5"/>
      <w:bookmarkEnd w:id="6"/>
    </w:p>
    <w:p w14:paraId="6DEFA1F2">
      <w:pPr>
        <w:pStyle w:val="18"/>
        <w:ind w:firstLine="0" w:firstLineChars="0"/>
        <w:jc w:val="both"/>
        <w:rPr>
          <w:rFonts w:ascii="黑体" w:hAnsi="黑体" w:eastAsia="黑体" w:cs="黑体"/>
          <w:sz w:val="32"/>
          <w:szCs w:val="32"/>
          <w:highlight w:val="none"/>
          <w:lang w:eastAsia="zh-CN"/>
        </w:rPr>
      </w:pPr>
    </w:p>
    <w:p w14:paraId="13AF44B0">
      <w:pPr>
        <w:pStyle w:val="16"/>
        <w:kinsoku/>
        <w:autoSpaceDE/>
        <w:autoSpaceDN/>
        <w:adjustRightInd w:val="0"/>
        <w:snapToGrid w:val="0"/>
        <w:spacing w:before="0" w:beforeAutospacing="0" w:after="0" w:afterAutospacing="0" w:line="400" w:lineRule="exact"/>
        <w:ind w:firstLine="480" w:firstLineChars="200"/>
        <w:jc w:val="both"/>
        <w:textAlignment w:val="auto"/>
        <w:rPr>
          <w:rFonts w:hint="default" w:asciiTheme="minorEastAsia" w:hAnsiTheme="minorEastAsia" w:eastAsiaTheme="minorEastAsia" w:cstheme="minorEastAsia"/>
          <w:color w:val="auto"/>
          <w:highlight w:val="none"/>
          <w:shd w:val="clear" w:color="auto" w:fill="FFFFFF"/>
          <w:lang w:val="en-US" w:eastAsia="zh-CN"/>
        </w:rPr>
      </w:pPr>
      <w:r>
        <w:rPr>
          <w:rFonts w:hint="eastAsia" w:asciiTheme="minorEastAsia" w:hAnsiTheme="minorEastAsia" w:eastAsiaTheme="minorEastAsia" w:cstheme="minorEastAsia"/>
          <w:color w:val="auto"/>
          <w:highlight w:val="none"/>
          <w:shd w:val="clear" w:color="auto" w:fill="FFFFFF"/>
          <w:lang w:eastAsia="zh-CN"/>
        </w:rPr>
        <w:t>山东现代学院前身是创建于1993年的山东民进中西医进修学院。2003年，经山东省人民政府批准，山东民进中西医进修学院和山东现代计算机专修学院合并，成立山东现代职业学院。2015年，经教育部批准，在山东现代职业学院基础上建立山东现代学院，成为本科层次民办普通高校。2021年，学校</w:t>
      </w:r>
      <w:r>
        <w:rPr>
          <w:rFonts w:hint="eastAsia" w:asciiTheme="minorEastAsia" w:hAnsiTheme="minorEastAsia" w:eastAsiaTheme="minorEastAsia" w:cstheme="minorEastAsia"/>
          <w:color w:val="auto"/>
          <w:highlight w:val="none"/>
          <w:lang w:eastAsia="zh-CN"/>
        </w:rPr>
        <w:t>被确定为山东省应用型本科高校建设支持单位。</w:t>
      </w:r>
    </w:p>
    <w:p w14:paraId="180C4844">
      <w:pPr>
        <w:pStyle w:val="16"/>
        <w:kinsoku/>
        <w:autoSpaceDE/>
        <w:autoSpaceDN/>
        <w:adjustRightInd w:val="0"/>
        <w:snapToGrid w:val="0"/>
        <w:spacing w:before="0" w:beforeAutospacing="0" w:after="0" w:afterAutospacing="0" w:line="400" w:lineRule="exact"/>
        <w:ind w:firstLine="482" w:firstLineChars="200"/>
        <w:jc w:val="both"/>
        <w:textAlignment w:val="auto"/>
        <w:rPr>
          <w:rFonts w:asciiTheme="minorEastAsia" w:hAnsiTheme="minorEastAsia" w:eastAsiaTheme="minorEastAsia" w:cstheme="minorEastAsia"/>
          <w:color w:val="auto"/>
          <w:highlight w:val="none"/>
          <w:shd w:val="clear" w:color="auto" w:fill="FFFFFF"/>
          <w:lang w:eastAsia="zh-CN"/>
        </w:rPr>
      </w:pPr>
      <w:r>
        <w:rPr>
          <w:rFonts w:hint="eastAsia" w:asciiTheme="minorEastAsia" w:hAnsiTheme="minorEastAsia" w:eastAsiaTheme="minorEastAsia" w:cstheme="minorEastAsia"/>
          <w:b/>
          <w:bCs/>
          <w:color w:val="auto"/>
          <w:highlight w:val="none"/>
          <w:lang w:eastAsia="zh-CN"/>
        </w:rPr>
        <w:t xml:space="preserve">办学理念  </w:t>
      </w:r>
      <w:r>
        <w:rPr>
          <w:rFonts w:hint="eastAsia" w:asciiTheme="minorEastAsia" w:hAnsiTheme="minorEastAsia" w:eastAsiaTheme="minorEastAsia" w:cstheme="minorEastAsia"/>
          <w:bCs/>
          <w:iCs/>
          <w:color w:val="auto"/>
          <w:highlight w:val="none"/>
          <w:lang w:eastAsia="zh-CN"/>
        </w:rPr>
        <w:t>山东现代学院秉持“天道酬勤”的校训，坚持“立德树人、知行合一”的育人理念，全面贯彻党的教育方针，深入落实“三全育人、五育并举”要求，致力于培养德智体美劳全面发展的社会主义建设者和接班人。学校聚焦高素质应用型人才培养核心任务，将价值塑造、能力培养与知识传授有机统一，着力培育学生具备坚定的理想信念、深厚的文化素养、扎实的专业能力、强烈的社会责任感以及可持续的终身学习能力。同时，学校高度重视学生综合素质提升与健全人格养成，引导其成长为具有问题解决能力、责任担当意识、健康生活方式和幸福创造能力的新时代高素质人才。</w:t>
      </w:r>
    </w:p>
    <w:p w14:paraId="59433216">
      <w:pPr>
        <w:kinsoku/>
        <w:autoSpaceDE/>
        <w:autoSpaceDN/>
        <w:spacing w:line="400" w:lineRule="exact"/>
        <w:ind w:firstLine="482"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人才培养  </w:t>
      </w:r>
      <w:r>
        <w:rPr>
          <w:rFonts w:hint="eastAsia" w:asciiTheme="minorEastAsia" w:hAnsiTheme="minorEastAsia" w:eastAsiaTheme="minorEastAsia" w:cstheme="minorEastAsia"/>
          <w:i w:val="0"/>
          <w:iCs w:val="0"/>
          <w:color w:val="auto"/>
          <w:sz w:val="24"/>
          <w:szCs w:val="24"/>
          <w:highlight w:val="none"/>
          <w:u w:val="none"/>
          <w:shd w:val="clear" w:color="auto" w:fill="FFFFFF"/>
          <w:lang w:eastAsia="zh-CN"/>
        </w:rPr>
        <w:t>学校设有医学院、护理学院、药学院、文创商学院、人工智能学院、智能工程学院、</w:t>
      </w:r>
      <w:r>
        <w:rPr>
          <w:rFonts w:hint="eastAsia" w:asciiTheme="minorEastAsia" w:hAnsiTheme="minorEastAsia" w:eastAsiaTheme="minorEastAsia" w:cstheme="minorEastAsia"/>
          <w:i w:val="0"/>
          <w:iCs w:val="0"/>
          <w:color w:val="auto"/>
          <w:sz w:val="24"/>
          <w:szCs w:val="24"/>
          <w:highlight w:val="none"/>
          <w:u w:val="none"/>
          <w:shd w:val="clear" w:color="auto" w:fill="FFFFFF"/>
          <w:lang w:val="en-US" w:eastAsia="zh-CN"/>
        </w:rPr>
        <w:t>基础部、马克思主义学院</w:t>
      </w:r>
      <w:r>
        <w:rPr>
          <w:rFonts w:hint="eastAsia" w:asciiTheme="minorEastAsia" w:hAnsiTheme="minorEastAsia" w:eastAsiaTheme="minorEastAsia" w:cstheme="minorEastAsia"/>
          <w:i w:val="0"/>
          <w:iCs w:val="0"/>
          <w:color w:val="auto"/>
          <w:sz w:val="24"/>
          <w:szCs w:val="24"/>
          <w:highlight w:val="none"/>
          <w:u w:val="none"/>
          <w:shd w:val="clear" w:color="auto" w:fill="FFFFFF"/>
          <w:lang w:eastAsia="zh-CN"/>
        </w:rPr>
        <w:t>等</w:t>
      </w:r>
      <w:r>
        <w:rPr>
          <w:rFonts w:hint="eastAsia" w:asciiTheme="minorEastAsia" w:hAnsiTheme="minorEastAsia" w:eastAsiaTheme="minorEastAsia" w:cstheme="minorEastAsia"/>
          <w:i w:val="0"/>
          <w:iCs w:val="0"/>
          <w:color w:val="auto"/>
          <w:sz w:val="24"/>
          <w:szCs w:val="24"/>
          <w:highlight w:val="none"/>
          <w:u w:val="none"/>
          <w:shd w:val="clear" w:color="auto" w:fill="FFFFFF"/>
          <w:lang w:val="en-US" w:eastAsia="zh-CN"/>
        </w:rPr>
        <w:t>8</w:t>
      </w:r>
      <w:r>
        <w:rPr>
          <w:rFonts w:hint="eastAsia" w:asciiTheme="minorEastAsia" w:hAnsiTheme="minorEastAsia" w:eastAsiaTheme="minorEastAsia" w:cstheme="minorEastAsia"/>
          <w:i w:val="0"/>
          <w:iCs w:val="0"/>
          <w:color w:val="auto"/>
          <w:sz w:val="24"/>
          <w:szCs w:val="24"/>
          <w:highlight w:val="none"/>
          <w:u w:val="none"/>
          <w:shd w:val="clear" w:color="auto" w:fill="FFFFFF"/>
          <w:lang w:eastAsia="zh-CN"/>
        </w:rPr>
        <w:t>个</w:t>
      </w:r>
      <w:r>
        <w:rPr>
          <w:rFonts w:hint="eastAsia" w:asciiTheme="minorEastAsia" w:hAnsiTheme="minorEastAsia" w:eastAsiaTheme="minorEastAsia" w:cstheme="minorEastAsia"/>
          <w:i w:val="0"/>
          <w:iCs w:val="0"/>
          <w:color w:val="auto"/>
          <w:sz w:val="24"/>
          <w:szCs w:val="24"/>
          <w:highlight w:val="none"/>
          <w:u w:val="none"/>
          <w:shd w:val="clear" w:color="auto" w:fill="FFFFFF"/>
          <w:lang w:val="en-US" w:eastAsia="zh-CN"/>
        </w:rPr>
        <w:t>教学单位</w:t>
      </w:r>
      <w:r>
        <w:rPr>
          <w:rFonts w:hint="eastAsia" w:asciiTheme="minorEastAsia" w:hAnsiTheme="minorEastAsia" w:eastAsiaTheme="minorEastAsia" w:cstheme="minorEastAsia"/>
          <w:i w:val="0"/>
          <w:iCs w:val="0"/>
          <w:color w:val="auto"/>
          <w:sz w:val="24"/>
          <w:szCs w:val="24"/>
          <w:highlight w:val="none"/>
          <w:u w:val="none"/>
          <w:shd w:val="clear" w:color="auto" w:fill="FFFFFF"/>
          <w:lang w:eastAsia="zh-CN"/>
        </w:rPr>
        <w:t>。开设本科专业25个，专科专业17个，初步形成了以医学、工学为主体，医学、工学、教育学、管理学、艺术学、文学等协调发展的学科专业体系。现有省级一流本科专业建设点4个、省级一流本科课程、课程思政示范课程和在线开放课程5门。近五年，获批教育部产学合作协同育人项目37项、教育部供需对接就业育人项目34项、省级教学改革项目25项。近三学年，获得省级学科专业竞赛三等奖及以上奖励625项，累计2024人次获奖。一等奖59项,193人次;二等奖172项,575人次;三等奖394项,1256人次。</w:t>
      </w:r>
    </w:p>
    <w:p w14:paraId="7BC54802">
      <w:pPr>
        <w:widowControl w:val="0"/>
        <w:kinsoku/>
        <w:autoSpaceDE/>
        <w:autoSpaceDN/>
        <w:spacing w:line="400" w:lineRule="exact"/>
        <w:ind w:firstLine="482" w:firstLineChars="200"/>
        <w:jc w:val="both"/>
        <w:textAlignment w:val="auto"/>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师资队伍  </w:t>
      </w:r>
      <w:r>
        <w:rPr>
          <w:rFonts w:hint="eastAsia" w:asciiTheme="minorEastAsia" w:hAnsiTheme="minorEastAsia" w:eastAsiaTheme="minorEastAsia" w:cstheme="minorEastAsia"/>
          <w:color w:val="auto"/>
          <w:sz w:val="24"/>
          <w:szCs w:val="24"/>
          <w:highlight w:val="none"/>
          <w:u w:val="none"/>
          <w:lang w:eastAsia="zh-CN"/>
        </w:rPr>
        <w:t>学校现有教职工</w:t>
      </w:r>
      <w:r>
        <w:rPr>
          <w:rFonts w:hint="eastAsia" w:asciiTheme="minorEastAsia" w:hAnsiTheme="minorEastAsia" w:eastAsiaTheme="minorEastAsia" w:cstheme="minorEastAsia"/>
          <w:strike w:val="0"/>
          <w:dstrike w:val="0"/>
          <w:color w:val="auto"/>
          <w:sz w:val="24"/>
          <w:szCs w:val="24"/>
          <w:highlight w:val="none"/>
          <w:u w:val="none"/>
          <w:lang w:val="en-US" w:eastAsia="zh-CN"/>
        </w:rPr>
        <w:t>1006</w:t>
      </w:r>
      <w:r>
        <w:rPr>
          <w:rFonts w:hint="eastAsia" w:asciiTheme="minorEastAsia" w:hAnsiTheme="minorEastAsia" w:eastAsiaTheme="minorEastAsia" w:cstheme="minorEastAsia"/>
          <w:color w:val="auto"/>
          <w:sz w:val="24"/>
          <w:szCs w:val="24"/>
          <w:highlight w:val="none"/>
          <w:u w:val="none"/>
          <w:lang w:eastAsia="zh-CN"/>
        </w:rPr>
        <w:t>人，自有专任教师</w:t>
      </w:r>
      <w:r>
        <w:rPr>
          <w:rFonts w:hint="eastAsia" w:asciiTheme="minorEastAsia" w:hAnsiTheme="minorEastAsia" w:eastAsiaTheme="minorEastAsia" w:cstheme="minorEastAsia"/>
          <w:color w:val="auto"/>
          <w:sz w:val="24"/>
          <w:szCs w:val="24"/>
          <w:highlight w:val="none"/>
          <w:u w:val="none"/>
          <w:lang w:val="en-US" w:eastAsia="zh-CN"/>
        </w:rPr>
        <w:t>779</w:t>
      </w:r>
      <w:r>
        <w:rPr>
          <w:rFonts w:hint="eastAsia" w:asciiTheme="minorEastAsia" w:hAnsiTheme="minorEastAsia" w:eastAsiaTheme="minorEastAsia" w:cstheme="minorEastAsia"/>
          <w:color w:val="auto"/>
          <w:sz w:val="24"/>
          <w:szCs w:val="24"/>
          <w:highlight w:val="none"/>
          <w:u w:val="none"/>
          <w:lang w:eastAsia="zh-CN"/>
        </w:rPr>
        <w:t>人，外聘教师</w:t>
      </w:r>
      <w:r>
        <w:rPr>
          <w:rFonts w:hint="eastAsia" w:asciiTheme="minorEastAsia" w:hAnsiTheme="minorEastAsia" w:eastAsiaTheme="minorEastAsia" w:cstheme="minorEastAsia"/>
          <w:color w:val="auto"/>
          <w:sz w:val="24"/>
          <w:szCs w:val="24"/>
          <w:highlight w:val="none"/>
          <w:u w:val="none"/>
          <w:lang w:val="en-US" w:eastAsia="zh-CN"/>
        </w:rPr>
        <w:t>179</w:t>
      </w:r>
      <w:r>
        <w:rPr>
          <w:rFonts w:hint="eastAsia" w:asciiTheme="minorEastAsia" w:hAnsiTheme="minorEastAsia" w:eastAsiaTheme="minorEastAsia" w:cstheme="minorEastAsia"/>
          <w:color w:val="auto"/>
          <w:sz w:val="24"/>
          <w:szCs w:val="24"/>
          <w:highlight w:val="none"/>
          <w:u w:val="none"/>
          <w:lang w:eastAsia="zh-CN"/>
        </w:rPr>
        <w:t>人，</w:t>
      </w:r>
      <w:r>
        <w:rPr>
          <w:rFonts w:hint="eastAsia" w:asciiTheme="minorEastAsia" w:hAnsiTheme="minorEastAsia" w:eastAsiaTheme="minorEastAsia" w:cstheme="minorEastAsia"/>
          <w:color w:val="auto"/>
          <w:sz w:val="24"/>
          <w:szCs w:val="24"/>
          <w:highlight w:val="none"/>
          <w:u w:val="none"/>
          <w:lang w:val="en-US" w:eastAsia="zh-CN"/>
        </w:rPr>
        <w:t>折合教师总数868.5人。专任教师中，“双师型”教师43人，占专任教师的比例为5.52%；具有高级职称的专任教师62人，占专任教师的比例为7.96%；具有研究生学位（硕士和博士）的专任教师694人，占专任教师的比例为89.09%。</w:t>
      </w:r>
      <w:r>
        <w:rPr>
          <w:rFonts w:hint="eastAsia" w:asciiTheme="minorEastAsia" w:hAnsiTheme="minorEastAsia" w:eastAsiaTheme="minorEastAsia" w:cstheme="minorEastAsia"/>
          <w:color w:val="auto"/>
          <w:sz w:val="24"/>
          <w:szCs w:val="24"/>
          <w:highlight w:val="none"/>
          <w:u w:val="none"/>
          <w:lang w:eastAsia="zh-CN"/>
        </w:rPr>
        <w:t>4人享受国务院政府特殊津贴，1人被评为全国优秀教师，2人获得山东省有突出贡献的中青年专家称号，3人被评为山东省教学名师，1人被评为全国青年岗位能手和全国巾帼建功示范标兵，1人被评为山东高校三八红旗手，6人被评为济南市表现突出个人。教师在山东省高校教师教学创新大赛、青年教师教学比赛等比赛中获奖38人。</w:t>
      </w:r>
    </w:p>
    <w:p w14:paraId="725906DC">
      <w:pPr>
        <w:pStyle w:val="16"/>
        <w:kinsoku/>
        <w:autoSpaceDE/>
        <w:autoSpaceDN/>
        <w:adjustRightInd w:val="0"/>
        <w:snapToGrid w:val="0"/>
        <w:spacing w:before="0" w:beforeAutospacing="0" w:after="0" w:afterAutospacing="0" w:line="400" w:lineRule="exact"/>
        <w:ind w:firstLine="482" w:firstLineChars="200"/>
        <w:jc w:val="both"/>
        <w:textAlignment w:val="auto"/>
        <w:rPr>
          <w:rFonts w:asciiTheme="minorEastAsia" w:hAnsiTheme="minorEastAsia" w:eastAsiaTheme="minorEastAsia" w:cstheme="minorEastAsia"/>
          <w:i w:val="0"/>
          <w:iCs w:val="0"/>
          <w:color w:val="auto"/>
          <w:highlight w:val="none"/>
          <w:lang w:eastAsia="zh-CN"/>
        </w:rPr>
      </w:pPr>
      <w:r>
        <w:rPr>
          <w:rFonts w:hint="eastAsia" w:asciiTheme="minorEastAsia" w:hAnsiTheme="minorEastAsia" w:eastAsiaTheme="minorEastAsia" w:cstheme="minorEastAsia"/>
          <w:b/>
          <w:bCs/>
          <w:color w:val="auto"/>
          <w:highlight w:val="none"/>
          <w:lang w:eastAsia="zh-CN"/>
        </w:rPr>
        <w:t xml:space="preserve">教学条件  </w:t>
      </w:r>
      <w:r>
        <w:rPr>
          <w:rFonts w:hint="eastAsia" w:asciiTheme="minorEastAsia" w:hAnsiTheme="minorEastAsia" w:eastAsiaTheme="minorEastAsia" w:cstheme="minorEastAsia"/>
          <w:color w:val="auto"/>
          <w:highlight w:val="none"/>
          <w:lang w:eastAsia="zh-CN"/>
        </w:rPr>
        <w:t>学</w:t>
      </w:r>
      <w:r>
        <w:rPr>
          <w:rFonts w:hint="eastAsia" w:asciiTheme="minorEastAsia" w:hAnsiTheme="minorEastAsia" w:eastAsiaTheme="minorEastAsia" w:cstheme="minorEastAsia"/>
          <w:color w:val="auto"/>
          <w:highlight w:val="none"/>
          <w:shd w:val="clear" w:color="auto" w:fill="FFFFFF"/>
          <w:lang w:eastAsia="zh-CN"/>
        </w:rPr>
        <w:t>校总占地面积70.36万平方米，总建筑面积3</w:t>
      </w:r>
      <w:r>
        <w:rPr>
          <w:rFonts w:hint="eastAsia" w:asciiTheme="minorEastAsia" w:hAnsiTheme="minorEastAsia" w:eastAsiaTheme="minorEastAsia" w:cstheme="minorEastAsia"/>
          <w:color w:val="auto"/>
          <w:highlight w:val="none"/>
          <w:shd w:val="clear" w:color="auto" w:fill="FFFFFF"/>
          <w:lang w:val="en-US" w:eastAsia="zh-CN"/>
        </w:rPr>
        <w:t>9.62</w:t>
      </w:r>
      <w:r>
        <w:rPr>
          <w:rFonts w:hint="eastAsia" w:asciiTheme="minorEastAsia" w:hAnsiTheme="minorEastAsia" w:eastAsiaTheme="minorEastAsia" w:cstheme="minorEastAsia"/>
          <w:color w:val="auto"/>
          <w:highlight w:val="none"/>
          <w:shd w:val="clear" w:color="auto" w:fill="FFFFFF"/>
          <w:lang w:eastAsia="zh-CN"/>
        </w:rPr>
        <w:t>万平方米。教学行政用房面积</w:t>
      </w:r>
      <w:r>
        <w:rPr>
          <w:rFonts w:hint="eastAsia" w:asciiTheme="minorEastAsia" w:hAnsiTheme="minorEastAsia" w:eastAsiaTheme="minorEastAsia" w:cstheme="minorEastAsia"/>
          <w:color w:val="auto"/>
          <w:highlight w:val="none"/>
          <w:shd w:val="clear" w:color="auto" w:fill="FFFFFF"/>
          <w:lang w:val="en-US" w:eastAsia="zh-CN"/>
        </w:rPr>
        <w:t>17.91</w:t>
      </w:r>
      <w:r>
        <w:rPr>
          <w:rFonts w:hint="eastAsia" w:asciiTheme="minorEastAsia" w:hAnsiTheme="minorEastAsia" w:eastAsiaTheme="minorEastAsia" w:cstheme="minorEastAsia"/>
          <w:color w:val="auto"/>
          <w:highlight w:val="none"/>
          <w:shd w:val="clear" w:color="auto" w:fill="FFFFFF"/>
          <w:lang w:eastAsia="zh-CN"/>
        </w:rPr>
        <w:t>万平方米，学生宿舍面积17.06万平方米。</w:t>
      </w:r>
      <w:r>
        <w:rPr>
          <w:rFonts w:hint="eastAsia" w:asciiTheme="minorEastAsia" w:hAnsiTheme="minorEastAsia" w:eastAsiaTheme="minorEastAsia" w:cstheme="minorEastAsia"/>
          <w:i w:val="0"/>
          <w:iCs w:val="0"/>
          <w:color w:val="auto"/>
          <w:highlight w:val="none"/>
          <w:lang w:eastAsia="zh-CN"/>
        </w:rPr>
        <w:t>教学科研仪器设备总值</w:t>
      </w:r>
      <w:r>
        <w:rPr>
          <w:rFonts w:hint="eastAsia" w:asciiTheme="minorEastAsia" w:hAnsiTheme="minorEastAsia" w:eastAsiaTheme="minorEastAsia" w:cstheme="minorEastAsia"/>
          <w:i w:val="0"/>
          <w:iCs w:val="0"/>
          <w:color w:val="auto"/>
          <w:highlight w:val="none"/>
          <w:lang w:val="en-US" w:eastAsia="zh-CN"/>
        </w:rPr>
        <w:t>1.36亿</w:t>
      </w:r>
      <w:r>
        <w:rPr>
          <w:rFonts w:hint="eastAsia" w:asciiTheme="minorEastAsia" w:hAnsiTheme="minorEastAsia" w:eastAsiaTheme="minorEastAsia" w:cstheme="minorEastAsia"/>
          <w:i w:val="0"/>
          <w:iCs w:val="0"/>
          <w:color w:val="auto"/>
          <w:highlight w:val="none"/>
          <w:lang w:eastAsia="zh-CN"/>
        </w:rPr>
        <w:t>元。</w:t>
      </w:r>
      <w:r>
        <w:rPr>
          <w:rFonts w:hint="eastAsia" w:asciiTheme="minorEastAsia" w:hAnsiTheme="minorEastAsia" w:eastAsiaTheme="minorEastAsia" w:cstheme="minorEastAsia"/>
          <w:i w:val="0"/>
          <w:iCs w:val="0"/>
          <w:color w:val="auto"/>
          <w:highlight w:val="none"/>
          <w:shd w:val="clear" w:color="auto" w:fill="FFFFFF"/>
          <w:lang w:eastAsia="zh-CN"/>
        </w:rPr>
        <w:t>馆藏纸质图书18</w:t>
      </w:r>
      <w:r>
        <w:rPr>
          <w:rFonts w:hint="eastAsia" w:asciiTheme="minorEastAsia" w:hAnsiTheme="minorEastAsia" w:eastAsiaTheme="minorEastAsia" w:cstheme="minorEastAsia"/>
          <w:i w:val="0"/>
          <w:iCs w:val="0"/>
          <w:color w:val="auto"/>
          <w:highlight w:val="none"/>
          <w:shd w:val="clear" w:color="auto" w:fill="FFFFFF"/>
          <w:lang w:val="en-US" w:eastAsia="zh-CN"/>
        </w:rPr>
        <w:t>7.7</w:t>
      </w:r>
      <w:r>
        <w:rPr>
          <w:rFonts w:hint="eastAsia" w:asciiTheme="minorEastAsia" w:hAnsiTheme="minorEastAsia" w:eastAsiaTheme="minorEastAsia" w:cstheme="minorEastAsia"/>
          <w:i w:val="0"/>
          <w:iCs w:val="0"/>
          <w:color w:val="auto"/>
          <w:highlight w:val="none"/>
          <w:shd w:val="clear" w:color="auto" w:fill="FFFFFF"/>
          <w:lang w:eastAsia="zh-CN"/>
        </w:rPr>
        <w:t>万册。</w:t>
      </w:r>
      <w:r>
        <w:rPr>
          <w:rFonts w:hint="eastAsia" w:asciiTheme="minorEastAsia" w:hAnsiTheme="minorEastAsia" w:eastAsiaTheme="minorEastAsia" w:cstheme="minorEastAsia"/>
          <w:i w:val="0"/>
          <w:iCs w:val="0"/>
          <w:color w:val="auto"/>
          <w:highlight w:val="none"/>
          <w:lang w:eastAsia="zh-CN"/>
        </w:rPr>
        <w:t>建有10个实验实训中心，1</w:t>
      </w:r>
      <w:r>
        <w:rPr>
          <w:rFonts w:hint="eastAsia" w:asciiTheme="minorEastAsia" w:hAnsiTheme="minorEastAsia" w:eastAsiaTheme="minorEastAsia" w:cstheme="minorEastAsia"/>
          <w:i w:val="0"/>
          <w:iCs w:val="0"/>
          <w:color w:val="auto"/>
          <w:highlight w:val="none"/>
          <w:lang w:val="en-US" w:eastAsia="zh-CN"/>
        </w:rPr>
        <w:t>91</w:t>
      </w:r>
      <w:r>
        <w:rPr>
          <w:rFonts w:hint="eastAsia" w:asciiTheme="minorEastAsia" w:hAnsiTheme="minorEastAsia" w:eastAsiaTheme="minorEastAsia" w:cstheme="minorEastAsia"/>
          <w:i w:val="0"/>
          <w:iCs w:val="0"/>
          <w:color w:val="auto"/>
          <w:highlight w:val="none"/>
          <w:lang w:eastAsia="zh-CN"/>
        </w:rPr>
        <w:t>个实验实训室。</w:t>
      </w:r>
    </w:p>
    <w:p w14:paraId="7FAFFDF2">
      <w:pPr>
        <w:kinsoku/>
        <w:autoSpaceDE/>
        <w:autoSpaceDN/>
        <w:spacing w:line="400" w:lineRule="exact"/>
        <w:ind w:firstLine="482"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科学研究  </w:t>
      </w:r>
      <w:r>
        <w:rPr>
          <w:rFonts w:hint="eastAsia" w:asciiTheme="minorEastAsia" w:hAnsiTheme="minorEastAsia" w:eastAsiaTheme="minorEastAsia" w:cstheme="minorEastAsia"/>
          <w:i w:val="0"/>
          <w:iCs w:val="0"/>
          <w:color w:val="auto"/>
          <w:sz w:val="24"/>
          <w:szCs w:val="24"/>
          <w:highlight w:val="none"/>
          <w:lang w:eastAsia="zh-CN"/>
        </w:rPr>
        <w:t>2024-2025学年，教师获得省部级科研立项课题共计33项，其中教育部人文社科项目辅导员专项1项；教育部供需对接就业育人项目31项，山东省社会科学规划项目（含专项）1项。厅（市）级及其他项目立项共计73项，济南市校融合发展战略工程培育项目立项1项，山东省教育教学研究课题立项1项，山东省教育厅山东省高等学校哲学社会科学研究项目立项1项，山东省教育发展促进会课题立项3项，山东省艺术重点项目立项3项，山东经营管理研究会科研课题立项58项，中国民办教育协会青年课题立项6项；教师出版学术著作10部，发表学术论文95篇，其中CSSCI、SCI、EI、中文核心期刊11篇，专利授权和软件著作权31项；通过结项验收的课题14项。</w:t>
      </w:r>
    </w:p>
    <w:p w14:paraId="7D49FD25">
      <w:pPr>
        <w:widowControl w:val="0"/>
        <w:kinsoku/>
        <w:autoSpaceDE/>
        <w:autoSpaceDN/>
        <w:spacing w:line="400" w:lineRule="exact"/>
        <w:ind w:firstLine="482"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合作交流  </w:t>
      </w:r>
      <w:r>
        <w:rPr>
          <w:rFonts w:hint="eastAsia" w:asciiTheme="minorEastAsia" w:hAnsiTheme="minorEastAsia" w:eastAsiaTheme="minorEastAsia" w:cstheme="minorEastAsia"/>
          <w:color w:val="auto"/>
          <w:sz w:val="24"/>
          <w:szCs w:val="24"/>
          <w:highlight w:val="none"/>
          <w:lang w:eastAsia="zh-CN"/>
        </w:rPr>
        <w:t>学校坚持开放办学，与济南市高新区教育文体部签订全面战略合作协议，共建产教联合体、学前教育与托育服务产教融合共同体等8个项目；与</w:t>
      </w:r>
      <w:r>
        <w:rPr>
          <w:rFonts w:hint="eastAsia" w:asciiTheme="minorEastAsia" w:hAnsiTheme="minorEastAsia" w:eastAsiaTheme="minorEastAsia" w:cstheme="minorEastAsia"/>
          <w:color w:val="auto"/>
          <w:sz w:val="24"/>
          <w:szCs w:val="24"/>
          <w:highlight w:val="none"/>
          <w:lang w:val="en-US" w:eastAsia="zh-CN"/>
        </w:rPr>
        <w:t>济南高新东区医院、商河县人民医院签署教学医院合作协议</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与山东开创集团股份有限公司、山东明仁福瑞达制药股份有限公司等企业共建6所产业学院；</w:t>
      </w:r>
      <w:r>
        <w:rPr>
          <w:rFonts w:hint="eastAsia" w:asciiTheme="minorEastAsia" w:hAnsiTheme="minorEastAsia" w:eastAsiaTheme="minorEastAsia" w:cstheme="minorEastAsia"/>
          <w:color w:val="auto"/>
          <w:sz w:val="24"/>
          <w:szCs w:val="24"/>
          <w:highlight w:val="none"/>
          <w:lang w:eastAsia="zh-CN"/>
        </w:rPr>
        <w:t>与近300家企事业单位建立了较稳固的合作关系。与新加坡、泰国马来西亚等国外高校签订了合作协议书,在教师互派、学生研习、学分互认、课程共建等方面开展交流与合作。</w:t>
      </w:r>
    </w:p>
    <w:p w14:paraId="5B5380CB">
      <w:pPr>
        <w:widowControl w:val="0"/>
        <w:kinsoku/>
        <w:autoSpaceDE/>
        <w:autoSpaceDN/>
        <w:spacing w:line="400" w:lineRule="exact"/>
        <w:ind w:firstLine="482" w:firstLineChars="200"/>
        <w:jc w:val="both"/>
        <w:textAlignment w:val="auto"/>
        <w:rPr>
          <w:rFonts w:asciiTheme="minorEastAsia" w:hAnsiTheme="minorEastAsia" w:eastAsiaTheme="minorEastAsia" w:cstheme="minorEastAsia"/>
          <w:bCs/>
          <w:iCs/>
          <w:color w:val="auto"/>
          <w:sz w:val="24"/>
          <w:szCs w:val="24"/>
          <w:highlight w:val="none"/>
          <w:u w:val="none"/>
          <w:lang w:eastAsia="zh-CN"/>
        </w:rPr>
      </w:pPr>
      <w:r>
        <w:rPr>
          <w:rFonts w:hint="eastAsia" w:asciiTheme="minorEastAsia" w:hAnsiTheme="minorEastAsia" w:eastAsiaTheme="minorEastAsia" w:cstheme="minorEastAsia"/>
          <w:b/>
          <w:bCs/>
          <w:iCs/>
          <w:color w:val="auto"/>
          <w:sz w:val="24"/>
          <w:szCs w:val="24"/>
          <w:highlight w:val="none"/>
          <w:lang w:eastAsia="zh-CN"/>
        </w:rPr>
        <w:t xml:space="preserve">社会声誉  </w:t>
      </w:r>
      <w:r>
        <w:rPr>
          <w:rFonts w:hint="eastAsia" w:asciiTheme="minorEastAsia" w:hAnsiTheme="minorEastAsia" w:eastAsiaTheme="minorEastAsia" w:cstheme="minorEastAsia"/>
          <w:bCs/>
          <w:iCs/>
          <w:color w:val="auto"/>
          <w:sz w:val="24"/>
          <w:szCs w:val="24"/>
          <w:highlight w:val="none"/>
          <w:u w:val="none"/>
          <w:lang w:eastAsia="zh-CN"/>
        </w:rPr>
        <w:t>办学三十二年来,学校培养了一大批优秀毕业生。近三年,1033名学生获省级优秀毕业生称号,132名获省级优秀学生干部称号,办学水平和人才培养质量得到社会普遍认可。学校先后被光明日报、齐鲁晚报多次报道,曾获评最具网络影响力本科高校山东省最具办学特色本科院校、山东省最具行业影响力本科院校、山东省高校校园文化宣传奖、最具影响力微信公众平台、山东省标准化食堂、山东省绿色学校。</w:t>
      </w:r>
    </w:p>
    <w:p w14:paraId="117D530E">
      <w:pPr>
        <w:rPr>
          <w:rFonts w:asciiTheme="minorEastAsia" w:hAnsiTheme="minorEastAsia" w:eastAsiaTheme="minorEastAsia" w:cstheme="minorEastAsia"/>
          <w:bCs/>
          <w:iCs/>
          <w:color w:val="auto"/>
          <w:sz w:val="24"/>
          <w:szCs w:val="24"/>
          <w:highlight w:val="none"/>
          <w:lang w:eastAsia="zh-CN"/>
        </w:rPr>
      </w:pPr>
      <w:r>
        <w:rPr>
          <w:rFonts w:hint="eastAsia" w:asciiTheme="minorEastAsia" w:hAnsiTheme="minorEastAsia" w:eastAsiaTheme="minorEastAsia" w:cstheme="minorEastAsia"/>
          <w:bCs/>
          <w:iCs/>
          <w:color w:val="auto"/>
          <w:sz w:val="24"/>
          <w:szCs w:val="24"/>
          <w:highlight w:val="none"/>
          <w:lang w:eastAsia="zh-CN"/>
        </w:rPr>
        <w:br w:type="page"/>
      </w:r>
    </w:p>
    <w:sdt>
      <w:sdtPr>
        <w:rPr>
          <w:rFonts w:hint="eastAsia" w:ascii="黑体" w:hAnsi="黑体" w:eastAsia="黑体" w:cs="黑体"/>
          <w:sz w:val="32"/>
          <w:szCs w:val="32"/>
          <w:highlight w:val="none"/>
        </w:rPr>
        <w:id w:val="147479998"/>
        <w15:color w:val="DBDBDB"/>
        <w:docPartObj>
          <w:docPartGallery w:val="Table of Contents"/>
          <w:docPartUnique/>
        </w:docPartObj>
      </w:sdtPr>
      <w:sdtEndPr>
        <w:rPr>
          <w:rFonts w:hint="eastAsia" w:asciiTheme="minorEastAsia" w:hAnsiTheme="minorEastAsia" w:eastAsiaTheme="minorEastAsia" w:cstheme="minorEastAsia"/>
          <w:b/>
          <w:bCs/>
          <w:iCs/>
          <w:color w:val="auto"/>
          <w:sz w:val="21"/>
          <w:szCs w:val="24"/>
          <w:highlight w:val="none"/>
          <w:lang w:eastAsia="zh-CN"/>
        </w:rPr>
      </w:sdtEndPr>
      <w:sdtContent>
        <w:p w14:paraId="13681169">
          <w:pPr>
            <w:spacing w:before="240" w:beforeLines="100"/>
            <w:jc w:val="center"/>
            <w:rPr>
              <w:rFonts w:ascii="黑体" w:hAnsi="黑体" w:eastAsia="黑体" w:cs="黑体"/>
              <w:sz w:val="32"/>
              <w:szCs w:val="32"/>
              <w:highlight w:val="none"/>
            </w:rPr>
          </w:pPr>
        </w:p>
        <w:p w14:paraId="29E6EF1F">
          <w:pPr>
            <w:jc w:val="center"/>
            <w:outlineLvl w:val="0"/>
            <w:rPr>
              <w:rFonts w:ascii="黑体" w:hAnsi="黑体" w:eastAsia="黑体" w:cs="黑体"/>
              <w:sz w:val="32"/>
              <w:szCs w:val="32"/>
              <w:highlight w:val="none"/>
            </w:rPr>
          </w:pPr>
          <w:bookmarkStart w:id="7" w:name="_Toc6799"/>
          <w:bookmarkStart w:id="8" w:name="_Toc18893"/>
          <w:bookmarkStart w:id="9" w:name="_Toc7801"/>
          <w:bookmarkStart w:id="10" w:name="_Toc22256"/>
          <w:bookmarkStart w:id="11" w:name="_Toc19896"/>
          <w:r>
            <w:rPr>
              <w:rFonts w:hint="eastAsia" w:ascii="黑体" w:hAnsi="黑体" w:eastAsia="黑体" w:cs="黑体"/>
              <w:sz w:val="32"/>
              <w:szCs w:val="32"/>
              <w:highlight w:val="none"/>
            </w:rPr>
            <w:t>目</w:t>
          </w:r>
          <w:r>
            <w:rPr>
              <w:rFonts w:hint="eastAsia" w:ascii="黑体" w:hAnsi="黑体" w:eastAsia="黑体" w:cs="黑体"/>
              <w:sz w:val="32"/>
              <w:szCs w:val="32"/>
              <w:highlight w:val="none"/>
              <w:lang w:eastAsia="zh-CN"/>
            </w:rPr>
            <w:t xml:space="preserve">  </w:t>
          </w:r>
          <w:r>
            <w:rPr>
              <w:rFonts w:hint="eastAsia" w:ascii="黑体" w:hAnsi="黑体" w:eastAsia="黑体" w:cs="黑体"/>
              <w:sz w:val="32"/>
              <w:szCs w:val="32"/>
              <w:highlight w:val="none"/>
            </w:rPr>
            <w:t>录</w:t>
          </w:r>
          <w:bookmarkEnd w:id="7"/>
          <w:bookmarkEnd w:id="8"/>
          <w:bookmarkEnd w:id="9"/>
          <w:bookmarkEnd w:id="10"/>
          <w:bookmarkEnd w:id="11"/>
        </w:p>
        <w:p w14:paraId="6A138130">
          <w:pPr>
            <w:pStyle w:val="25"/>
            <w:tabs>
              <w:tab w:val="right" w:leader="dot" w:pos="8839"/>
            </w:tabs>
            <w:rPr>
              <w:rFonts w:asciiTheme="minorEastAsia" w:hAnsiTheme="minorEastAsia" w:eastAsiaTheme="minorEastAsia" w:cstheme="minorEastAsia"/>
              <w:bCs/>
              <w:iCs/>
              <w:sz w:val="24"/>
              <w:szCs w:val="24"/>
              <w:highlight w:val="none"/>
            </w:rPr>
          </w:pPr>
        </w:p>
        <w:p w14:paraId="143D7B92">
          <w:pPr>
            <w:pStyle w:val="14"/>
            <w:tabs>
              <w:tab w:val="right" w:leader="hyphen" w:pos="8839"/>
            </w:tabs>
            <w:rPr>
              <w:highlight w:val="none"/>
            </w:rPr>
          </w:pPr>
          <w:r>
            <w:rPr>
              <w:rFonts w:hint="eastAsia" w:asciiTheme="minorEastAsia" w:hAnsiTheme="minorEastAsia" w:eastAsiaTheme="minorEastAsia" w:cstheme="minorEastAsia"/>
              <w:bCs/>
              <w:iCs/>
              <w:sz w:val="24"/>
              <w:szCs w:val="24"/>
              <w:highlight w:val="none"/>
            </w:rPr>
            <w:fldChar w:fldCharType="begin"/>
          </w:r>
          <w:r>
            <w:rPr>
              <w:rFonts w:hint="eastAsia" w:asciiTheme="minorEastAsia" w:hAnsiTheme="minorEastAsia" w:eastAsiaTheme="minorEastAsia" w:cstheme="minorEastAsia"/>
              <w:bCs/>
              <w:iCs/>
              <w:sz w:val="24"/>
              <w:szCs w:val="24"/>
              <w:highlight w:val="none"/>
            </w:rPr>
            <w:instrText xml:space="preserve">TOC \o "1-2" \h \u </w:instrText>
          </w:r>
          <w:r>
            <w:rPr>
              <w:rFonts w:hint="eastAsia" w:asciiTheme="minorEastAsia" w:hAnsiTheme="minorEastAsia" w:eastAsiaTheme="minorEastAsia" w:cstheme="minorEastAsia"/>
              <w:bCs/>
              <w:iCs/>
              <w:sz w:val="24"/>
              <w:szCs w:val="24"/>
              <w:highlight w:val="none"/>
            </w:rPr>
            <w:fldChar w:fldCharType="separate"/>
          </w:r>
          <w:r>
            <w:rPr>
              <w:rFonts w:hint="eastAsia" w:asciiTheme="minorEastAsia" w:hAnsiTheme="minorEastAsia" w:eastAsiaTheme="minorEastAsia" w:cstheme="minorEastAsia"/>
              <w:bCs/>
              <w:iCs/>
              <w:szCs w:val="24"/>
              <w:highlight w:val="none"/>
            </w:rPr>
            <w:fldChar w:fldCharType="begin"/>
          </w:r>
          <w:r>
            <w:rPr>
              <w:rFonts w:hint="eastAsia" w:asciiTheme="minorEastAsia" w:hAnsiTheme="minorEastAsia" w:eastAsiaTheme="minorEastAsia" w:cstheme="minorEastAsia"/>
              <w:bCs/>
              <w:iCs/>
              <w:szCs w:val="24"/>
              <w:highlight w:val="none"/>
            </w:rPr>
            <w:instrText xml:space="preserve"> HYPERLINK \l _Toc1070 </w:instrText>
          </w:r>
          <w:r>
            <w:rPr>
              <w:rFonts w:hint="eastAsia" w:asciiTheme="minorEastAsia" w:hAnsiTheme="minorEastAsia" w:eastAsiaTheme="minorEastAsia" w:cstheme="minorEastAsia"/>
              <w:bCs/>
              <w:iCs/>
              <w:szCs w:val="24"/>
              <w:highlight w:val="none"/>
            </w:rPr>
            <w:fldChar w:fldCharType="separate"/>
          </w:r>
          <w:r>
            <w:rPr>
              <w:rFonts w:hint="eastAsia" w:ascii="黑体" w:hAnsi="黑体" w:eastAsia="黑体" w:cs="黑体"/>
              <w:bCs/>
              <w:spacing w:val="9"/>
              <w:szCs w:val="36"/>
              <w:highlight w:val="none"/>
              <w:lang w:eastAsia="zh-CN"/>
            </w:rPr>
            <w:t>学校概况</w:t>
          </w:r>
          <w:r>
            <w:rPr>
              <w:highlight w:val="none"/>
            </w:rPr>
            <w:tab/>
          </w:r>
          <w:r>
            <w:rPr>
              <w:highlight w:val="none"/>
            </w:rPr>
            <w:fldChar w:fldCharType="begin"/>
          </w:r>
          <w:r>
            <w:rPr>
              <w:highlight w:val="none"/>
            </w:rPr>
            <w:instrText xml:space="preserve"> PAGEREF _Toc1070 \h </w:instrText>
          </w:r>
          <w:r>
            <w:rPr>
              <w:highlight w:val="none"/>
            </w:rPr>
            <w:fldChar w:fldCharType="separate"/>
          </w:r>
          <w:r>
            <w:rPr>
              <w:highlight w:val="none"/>
            </w:rPr>
            <w:t>1</w:t>
          </w:r>
          <w:r>
            <w:rPr>
              <w:highlight w:val="none"/>
            </w:rPr>
            <w:fldChar w:fldCharType="end"/>
          </w:r>
          <w:r>
            <w:rPr>
              <w:rFonts w:hint="eastAsia" w:asciiTheme="minorEastAsia" w:hAnsiTheme="minorEastAsia" w:eastAsiaTheme="minorEastAsia" w:cstheme="minorEastAsia"/>
              <w:bCs/>
              <w:iCs/>
              <w:szCs w:val="24"/>
              <w:highlight w:val="none"/>
            </w:rPr>
            <w:fldChar w:fldCharType="end"/>
          </w:r>
        </w:p>
        <w:p w14:paraId="1F11D623">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_Toc22256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32"/>
              <w:highlight w:val="none"/>
            </w:rPr>
            <w:t>目</w:t>
          </w:r>
          <w:r>
            <w:rPr>
              <w:rFonts w:hint="eastAsia" w:ascii="黑体" w:hAnsi="黑体" w:eastAsia="黑体" w:cs="黑体"/>
              <w:szCs w:val="32"/>
              <w:highlight w:val="none"/>
              <w:lang w:eastAsia="zh-CN"/>
            </w:rPr>
            <w:t xml:space="preserve">  </w:t>
          </w:r>
          <w:r>
            <w:rPr>
              <w:rFonts w:hint="eastAsia" w:ascii="黑体" w:hAnsi="黑体" w:eastAsia="黑体" w:cs="黑体"/>
              <w:szCs w:val="32"/>
              <w:highlight w:val="none"/>
            </w:rPr>
            <w:t>录</w:t>
          </w:r>
          <w:r>
            <w:rPr>
              <w:highlight w:val="none"/>
            </w:rPr>
            <w:tab/>
          </w:r>
          <w:r>
            <w:rPr>
              <w:highlight w:val="none"/>
            </w:rPr>
            <w:fldChar w:fldCharType="begin"/>
          </w:r>
          <w:r>
            <w:rPr>
              <w:highlight w:val="none"/>
            </w:rPr>
            <w:instrText xml:space="preserve"> PAGEREF _Toc22256 \h </w:instrText>
          </w:r>
          <w:r>
            <w:rPr>
              <w:highlight w:val="none"/>
            </w:rPr>
            <w:fldChar w:fldCharType="separate"/>
          </w:r>
          <w:r>
            <w:rPr>
              <w:highlight w:val="none"/>
            </w:rPr>
            <w:t>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A82F180">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_Toc15675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30"/>
              <w:highlight w:val="none"/>
              <w:lang w:eastAsia="zh-CN"/>
            </w:rPr>
            <w:t xml:space="preserve">第一部分 </w:t>
          </w:r>
          <w:r>
            <w:rPr>
              <w:rFonts w:ascii="黑体" w:hAnsi="黑体" w:eastAsia="黑体" w:cs="黑体"/>
              <w:szCs w:val="30"/>
              <w:highlight w:val="none"/>
              <w:lang w:eastAsia="zh-CN"/>
            </w:rPr>
            <w:t>本科教育基本情况</w:t>
          </w:r>
          <w:r>
            <w:rPr>
              <w:highlight w:val="none"/>
            </w:rPr>
            <w:tab/>
          </w:r>
          <w:r>
            <w:rPr>
              <w:highlight w:val="none"/>
            </w:rPr>
            <w:fldChar w:fldCharType="begin"/>
          </w:r>
          <w:r>
            <w:rPr>
              <w:highlight w:val="none"/>
            </w:rPr>
            <w:instrText xml:space="preserve"> PAGEREF _Toc15675 \h </w:instrText>
          </w:r>
          <w:r>
            <w:rPr>
              <w:highlight w:val="none"/>
            </w:rPr>
            <w:fldChar w:fldCharType="separate"/>
          </w:r>
          <w:r>
            <w:rPr>
              <w:highlight w:val="none"/>
            </w:rPr>
            <w:t>5</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37654B0">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_Toc25363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pacing w:val="-2"/>
              <w:szCs w:val="28"/>
              <w:highlight w:val="none"/>
              <w:lang w:eastAsia="zh-CN"/>
            </w:rPr>
            <w:t>一、本科人才培养目标及服务面向</w:t>
          </w:r>
          <w:r>
            <w:rPr>
              <w:highlight w:val="none"/>
            </w:rPr>
            <w:tab/>
          </w:r>
          <w:r>
            <w:rPr>
              <w:highlight w:val="none"/>
            </w:rPr>
            <w:fldChar w:fldCharType="begin"/>
          </w:r>
          <w:r>
            <w:rPr>
              <w:highlight w:val="none"/>
            </w:rPr>
            <w:instrText xml:space="preserve"> PAGEREF _Toc25363 \h </w:instrText>
          </w:r>
          <w:r>
            <w:rPr>
              <w:highlight w:val="none"/>
            </w:rPr>
            <w:fldChar w:fldCharType="separate"/>
          </w:r>
          <w:r>
            <w:rPr>
              <w:highlight w:val="none"/>
            </w:rPr>
            <w:t>5</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BCA6BEA">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_Toc18961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pacing w:val="-2"/>
              <w:szCs w:val="28"/>
              <w:highlight w:val="none"/>
              <w:lang w:eastAsia="zh-CN"/>
            </w:rPr>
            <w:t>二、本科专业设置情况</w:t>
          </w:r>
          <w:r>
            <w:rPr>
              <w:highlight w:val="none"/>
            </w:rPr>
            <w:tab/>
          </w:r>
          <w:r>
            <w:rPr>
              <w:highlight w:val="none"/>
            </w:rPr>
            <w:fldChar w:fldCharType="begin"/>
          </w:r>
          <w:r>
            <w:rPr>
              <w:highlight w:val="none"/>
            </w:rPr>
            <w:instrText xml:space="preserve"> PAGEREF _Toc18961 \h </w:instrText>
          </w:r>
          <w:r>
            <w:rPr>
              <w:highlight w:val="none"/>
            </w:rPr>
            <w:fldChar w:fldCharType="separate"/>
          </w:r>
          <w:r>
            <w:rPr>
              <w:highlight w:val="none"/>
            </w:rPr>
            <w:t>5</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36E679C">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_Toc9078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三、各类全日制在校学生情况及本科生所占比例</w:t>
          </w:r>
          <w:r>
            <w:rPr>
              <w:highlight w:val="none"/>
            </w:rPr>
            <w:tab/>
          </w:r>
          <w:r>
            <w:rPr>
              <w:highlight w:val="none"/>
            </w:rPr>
            <w:fldChar w:fldCharType="begin"/>
          </w:r>
          <w:r>
            <w:rPr>
              <w:highlight w:val="none"/>
            </w:rPr>
            <w:instrText xml:space="preserve"> PAGEREF _Toc9078 \h </w:instrText>
          </w:r>
          <w:r>
            <w:rPr>
              <w:highlight w:val="none"/>
            </w:rPr>
            <w:fldChar w:fldCharType="separate"/>
          </w:r>
          <w:r>
            <w:rPr>
              <w:highlight w:val="none"/>
            </w:rPr>
            <w:t>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7BD3006">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_Toc25688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pacing w:val="-2"/>
              <w:szCs w:val="28"/>
              <w:highlight w:val="none"/>
              <w:lang w:eastAsia="zh-CN"/>
            </w:rPr>
            <w:t>四、本科生生源质量</w:t>
          </w:r>
          <w:r>
            <w:rPr>
              <w:rFonts w:hint="eastAsia" w:ascii="黑体" w:hAnsi="黑体" w:eastAsia="黑体" w:cs="黑体"/>
              <w:spacing w:val="-2"/>
              <w:szCs w:val="28"/>
              <w:highlight w:val="none"/>
              <w:lang w:val="en-US" w:eastAsia="zh-CN"/>
            </w:rPr>
            <w:t>情况</w:t>
          </w:r>
          <w:r>
            <w:rPr>
              <w:highlight w:val="none"/>
            </w:rPr>
            <w:tab/>
          </w:r>
          <w:r>
            <w:rPr>
              <w:highlight w:val="none"/>
            </w:rPr>
            <w:fldChar w:fldCharType="begin"/>
          </w:r>
          <w:r>
            <w:rPr>
              <w:highlight w:val="none"/>
            </w:rPr>
            <w:instrText xml:space="preserve"> PAGEREF _Toc25688 \h </w:instrText>
          </w:r>
          <w:r>
            <w:rPr>
              <w:highlight w:val="none"/>
            </w:rPr>
            <w:fldChar w:fldCharType="separate"/>
          </w:r>
          <w:r>
            <w:rPr>
              <w:highlight w:val="none"/>
            </w:rPr>
            <w:t>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65FC75A">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_Toc4597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30"/>
              <w:highlight w:val="none"/>
              <w:lang w:eastAsia="zh-CN"/>
            </w:rPr>
            <w:t>第二部分 师资与教学条件</w:t>
          </w:r>
          <w:r>
            <w:rPr>
              <w:highlight w:val="none"/>
            </w:rPr>
            <w:tab/>
          </w:r>
          <w:r>
            <w:rPr>
              <w:highlight w:val="none"/>
            </w:rPr>
            <w:fldChar w:fldCharType="begin"/>
          </w:r>
          <w:r>
            <w:rPr>
              <w:highlight w:val="none"/>
            </w:rPr>
            <w:instrText xml:space="preserve"> PAGEREF _Toc4597 \h </w:instrText>
          </w:r>
          <w:r>
            <w:rPr>
              <w:highlight w:val="none"/>
            </w:rPr>
            <w:fldChar w:fldCharType="separate"/>
          </w:r>
          <w:r>
            <w:rPr>
              <w:highlight w:val="none"/>
            </w:rPr>
            <w:t>10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FF0D747">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_Toc29190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一、</w:t>
          </w:r>
          <w:r>
            <w:rPr>
              <w:rFonts w:hint="eastAsia" w:ascii="黑体" w:hAnsi="黑体" w:eastAsia="黑体" w:cs="黑体"/>
              <w:szCs w:val="28"/>
              <w:highlight w:val="none"/>
              <w:lang w:val="en-US" w:eastAsia="zh-CN"/>
            </w:rPr>
            <w:t>学校生师比</w:t>
          </w:r>
          <w:r>
            <w:rPr>
              <w:highlight w:val="none"/>
            </w:rPr>
            <w:tab/>
          </w:r>
          <w:r>
            <w:rPr>
              <w:highlight w:val="none"/>
            </w:rPr>
            <w:fldChar w:fldCharType="begin"/>
          </w:r>
          <w:r>
            <w:rPr>
              <w:highlight w:val="none"/>
            </w:rPr>
            <w:instrText xml:space="preserve"> PAGEREF _Toc29190 \h </w:instrText>
          </w:r>
          <w:r>
            <w:rPr>
              <w:highlight w:val="none"/>
            </w:rPr>
            <w:fldChar w:fldCharType="separate"/>
          </w:r>
          <w:r>
            <w:rPr>
              <w:highlight w:val="none"/>
            </w:rPr>
            <w:t>10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70B543B5">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_Toc10761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二、</w:t>
          </w:r>
          <w:r>
            <w:rPr>
              <w:rFonts w:hint="eastAsia" w:ascii="黑体" w:hAnsi="黑体" w:eastAsia="黑体" w:cs="黑体"/>
              <w:szCs w:val="28"/>
              <w:highlight w:val="none"/>
              <w:lang w:eastAsia="zh-CN"/>
            </w:rPr>
            <w:t>师资队伍数量及结构情况</w:t>
          </w:r>
          <w:r>
            <w:rPr>
              <w:highlight w:val="none"/>
            </w:rPr>
            <w:tab/>
          </w:r>
          <w:r>
            <w:rPr>
              <w:highlight w:val="none"/>
            </w:rPr>
            <w:fldChar w:fldCharType="begin"/>
          </w:r>
          <w:r>
            <w:rPr>
              <w:highlight w:val="none"/>
            </w:rPr>
            <w:instrText xml:space="preserve"> PAGEREF _Toc10761 \h </w:instrText>
          </w:r>
          <w:r>
            <w:rPr>
              <w:highlight w:val="none"/>
            </w:rPr>
            <w:fldChar w:fldCharType="separate"/>
          </w:r>
          <w:r>
            <w:rPr>
              <w:highlight w:val="none"/>
            </w:rPr>
            <w:t>10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944017C">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_Toc136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三、本科生主讲教师情况、教授承担本科课程情况</w:t>
          </w:r>
          <w:r>
            <w:rPr>
              <w:highlight w:val="none"/>
            </w:rPr>
            <w:tab/>
          </w:r>
          <w:r>
            <w:rPr>
              <w:highlight w:val="none"/>
            </w:rPr>
            <w:fldChar w:fldCharType="begin"/>
          </w:r>
          <w:r>
            <w:rPr>
              <w:highlight w:val="none"/>
            </w:rPr>
            <w:instrText xml:space="preserve"> PAGEREF _Toc136 \h </w:instrText>
          </w:r>
          <w:r>
            <w:rPr>
              <w:highlight w:val="none"/>
            </w:rPr>
            <w:fldChar w:fldCharType="separate"/>
          </w:r>
          <w:r>
            <w:rPr>
              <w:highlight w:val="none"/>
            </w:rPr>
            <w:t>13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0946191F">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_Toc11235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四、教学经费投入情况</w:t>
          </w:r>
          <w:r>
            <w:rPr>
              <w:highlight w:val="none"/>
            </w:rPr>
            <w:tab/>
          </w:r>
          <w:r>
            <w:rPr>
              <w:highlight w:val="none"/>
            </w:rPr>
            <w:fldChar w:fldCharType="begin"/>
          </w:r>
          <w:r>
            <w:rPr>
              <w:highlight w:val="none"/>
            </w:rPr>
            <w:instrText xml:space="preserve"> PAGEREF _Toc11235 \h </w:instrText>
          </w:r>
          <w:r>
            <w:rPr>
              <w:highlight w:val="none"/>
            </w:rPr>
            <w:fldChar w:fldCharType="separate"/>
          </w:r>
          <w:r>
            <w:rPr>
              <w:highlight w:val="none"/>
            </w:rPr>
            <w:t>14</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EF04B05">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_Toc24057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五、教学用房及应用情况</w:t>
          </w:r>
          <w:r>
            <w:rPr>
              <w:highlight w:val="none"/>
            </w:rPr>
            <w:tab/>
          </w:r>
          <w:r>
            <w:rPr>
              <w:highlight w:val="none"/>
            </w:rPr>
            <w:fldChar w:fldCharType="begin"/>
          </w:r>
          <w:r>
            <w:rPr>
              <w:highlight w:val="none"/>
            </w:rPr>
            <w:instrText xml:space="preserve"> PAGEREF _Toc24057 \h </w:instrText>
          </w:r>
          <w:r>
            <w:rPr>
              <w:highlight w:val="none"/>
            </w:rPr>
            <w:fldChar w:fldCharType="separate"/>
          </w:r>
          <w:r>
            <w:rPr>
              <w:highlight w:val="none"/>
            </w:rPr>
            <w:t>14</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A08B3C6">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_Toc10548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六、教学设备及其应用情况</w:t>
          </w:r>
          <w:r>
            <w:rPr>
              <w:highlight w:val="none"/>
            </w:rPr>
            <w:tab/>
          </w:r>
          <w:r>
            <w:rPr>
              <w:highlight w:val="none"/>
            </w:rPr>
            <w:fldChar w:fldCharType="begin"/>
          </w:r>
          <w:r>
            <w:rPr>
              <w:highlight w:val="none"/>
            </w:rPr>
            <w:instrText xml:space="preserve"> PAGEREF _Toc10548 \h </w:instrText>
          </w:r>
          <w:r>
            <w:rPr>
              <w:highlight w:val="none"/>
            </w:rPr>
            <w:fldChar w:fldCharType="separate"/>
          </w:r>
          <w:r>
            <w:rPr>
              <w:highlight w:val="none"/>
            </w:rPr>
            <w:t>15</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8CBB4FC">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_Toc26944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七、图书及应用情况</w:t>
          </w:r>
          <w:r>
            <w:rPr>
              <w:highlight w:val="none"/>
            </w:rPr>
            <w:tab/>
          </w:r>
          <w:r>
            <w:rPr>
              <w:highlight w:val="none"/>
            </w:rPr>
            <w:fldChar w:fldCharType="begin"/>
          </w:r>
          <w:r>
            <w:rPr>
              <w:highlight w:val="none"/>
            </w:rPr>
            <w:instrText xml:space="preserve"> PAGEREF _Toc26944 \h </w:instrText>
          </w:r>
          <w:r>
            <w:rPr>
              <w:highlight w:val="none"/>
            </w:rPr>
            <w:fldChar w:fldCharType="separate"/>
          </w:r>
          <w:r>
            <w:rPr>
              <w:highlight w:val="none"/>
            </w:rPr>
            <w:t>16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150F2FC">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_Toc12629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八、信息资源及其应用情况</w:t>
          </w:r>
          <w:r>
            <w:rPr>
              <w:highlight w:val="none"/>
            </w:rPr>
            <w:tab/>
          </w:r>
          <w:r>
            <w:rPr>
              <w:highlight w:val="none"/>
            </w:rPr>
            <w:fldChar w:fldCharType="begin"/>
          </w:r>
          <w:r>
            <w:rPr>
              <w:highlight w:val="none"/>
            </w:rPr>
            <w:instrText xml:space="preserve"> PAGEREF _Toc12629 \h </w:instrText>
          </w:r>
          <w:r>
            <w:rPr>
              <w:highlight w:val="none"/>
            </w:rPr>
            <w:fldChar w:fldCharType="separate"/>
          </w:r>
          <w:r>
            <w:rPr>
              <w:highlight w:val="none"/>
            </w:rPr>
            <w:t>17</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D18C063">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_Toc14361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pacing w:val="9"/>
              <w:szCs w:val="30"/>
              <w:highlight w:val="none"/>
              <w:lang w:eastAsia="zh-CN"/>
            </w:rPr>
            <w:t xml:space="preserve">第三部分 </w:t>
          </w:r>
          <w:r>
            <w:rPr>
              <w:rFonts w:ascii="黑体" w:hAnsi="黑体" w:eastAsia="黑体" w:cs="黑体"/>
              <w:spacing w:val="9"/>
              <w:szCs w:val="30"/>
              <w:highlight w:val="none"/>
              <w:lang w:eastAsia="zh-CN"/>
            </w:rPr>
            <w:t>教学</w:t>
          </w:r>
          <w:r>
            <w:rPr>
              <w:rFonts w:hint="eastAsia" w:ascii="黑体" w:hAnsi="黑体" w:eastAsia="黑体" w:cs="黑体"/>
              <w:spacing w:val="9"/>
              <w:szCs w:val="30"/>
              <w:highlight w:val="none"/>
              <w:lang w:val="en-US" w:eastAsia="zh-CN"/>
            </w:rPr>
            <w:t>建设</w:t>
          </w:r>
          <w:r>
            <w:rPr>
              <w:rFonts w:ascii="黑体" w:hAnsi="黑体" w:eastAsia="黑体" w:cs="黑体"/>
              <w:spacing w:val="9"/>
              <w:szCs w:val="30"/>
              <w:highlight w:val="none"/>
              <w:lang w:eastAsia="zh-CN"/>
            </w:rPr>
            <w:t>与改革</w:t>
          </w:r>
          <w:r>
            <w:rPr>
              <w:highlight w:val="none"/>
            </w:rPr>
            <w:tab/>
          </w:r>
          <w:r>
            <w:rPr>
              <w:highlight w:val="none"/>
            </w:rPr>
            <w:fldChar w:fldCharType="begin"/>
          </w:r>
          <w:r>
            <w:rPr>
              <w:highlight w:val="none"/>
            </w:rPr>
            <w:instrText xml:space="preserve"> PAGEREF _Toc14361 \h </w:instrText>
          </w:r>
          <w:r>
            <w:rPr>
              <w:highlight w:val="none"/>
            </w:rPr>
            <w:fldChar w:fldCharType="separate"/>
          </w:r>
          <w:r>
            <w:rPr>
              <w:highlight w:val="none"/>
            </w:rPr>
            <w:t>18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8801C00">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_Toc24504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一、教学过程各主要方面和关键环节</w:t>
          </w:r>
          <w:r>
            <w:rPr>
              <w:highlight w:val="none"/>
            </w:rPr>
            <w:tab/>
          </w:r>
          <w:r>
            <w:rPr>
              <w:highlight w:val="none"/>
            </w:rPr>
            <w:fldChar w:fldCharType="begin"/>
          </w:r>
          <w:r>
            <w:rPr>
              <w:highlight w:val="none"/>
            </w:rPr>
            <w:instrText xml:space="preserve"> PAGEREF _Toc24504 \h </w:instrText>
          </w:r>
          <w:r>
            <w:rPr>
              <w:highlight w:val="none"/>
            </w:rPr>
            <w:fldChar w:fldCharType="separate"/>
          </w:r>
          <w:r>
            <w:rPr>
              <w:highlight w:val="none"/>
            </w:rPr>
            <w:t>18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DCD6C75">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_Toc27207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二、学生</w:t>
          </w:r>
          <w:r>
            <w:rPr>
              <w:rFonts w:hint="eastAsia" w:ascii="黑体" w:hAnsi="黑体" w:eastAsia="黑体" w:cs="黑体"/>
              <w:szCs w:val="28"/>
              <w:highlight w:val="none"/>
              <w:lang w:eastAsia="zh-CN"/>
            </w:rPr>
            <w:t>创新创业教育</w:t>
          </w:r>
          <w:r>
            <w:rPr>
              <w:highlight w:val="none"/>
            </w:rPr>
            <w:tab/>
          </w:r>
          <w:r>
            <w:rPr>
              <w:highlight w:val="none"/>
            </w:rPr>
            <w:fldChar w:fldCharType="begin"/>
          </w:r>
          <w:r>
            <w:rPr>
              <w:highlight w:val="none"/>
            </w:rPr>
            <w:instrText xml:space="preserve"> PAGEREF _Toc27207 \h </w:instrText>
          </w:r>
          <w:r>
            <w:rPr>
              <w:highlight w:val="none"/>
            </w:rPr>
            <w:fldChar w:fldCharType="separate"/>
          </w:r>
          <w:r>
            <w:rPr>
              <w:highlight w:val="none"/>
            </w:rPr>
            <w:t>24</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3F4423F">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_Toc26306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30"/>
              <w:highlight w:val="none"/>
              <w:lang w:val="en-US" w:eastAsia="zh-CN"/>
            </w:rPr>
            <w:t>第四部分 专业培养能力</w:t>
          </w:r>
          <w:r>
            <w:rPr>
              <w:highlight w:val="none"/>
            </w:rPr>
            <w:tab/>
          </w:r>
          <w:r>
            <w:rPr>
              <w:highlight w:val="none"/>
            </w:rPr>
            <w:fldChar w:fldCharType="begin"/>
          </w:r>
          <w:r>
            <w:rPr>
              <w:highlight w:val="none"/>
            </w:rPr>
            <w:instrText xml:space="preserve"> PAGEREF _Toc26306 \h </w:instrText>
          </w:r>
          <w:r>
            <w:rPr>
              <w:highlight w:val="none"/>
            </w:rPr>
            <w:fldChar w:fldCharType="separate"/>
          </w:r>
          <w:r>
            <w:rPr>
              <w:highlight w:val="none"/>
            </w:rPr>
            <w:t>26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0A0D259">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_Toc31627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一、专业的培养目标</w:t>
          </w:r>
          <w:r>
            <w:rPr>
              <w:highlight w:val="none"/>
            </w:rPr>
            <w:tab/>
          </w:r>
          <w:r>
            <w:rPr>
              <w:highlight w:val="none"/>
            </w:rPr>
            <w:fldChar w:fldCharType="begin"/>
          </w:r>
          <w:r>
            <w:rPr>
              <w:highlight w:val="none"/>
            </w:rPr>
            <w:instrText xml:space="preserve"> PAGEREF _Toc31627 \h </w:instrText>
          </w:r>
          <w:r>
            <w:rPr>
              <w:highlight w:val="none"/>
            </w:rPr>
            <w:fldChar w:fldCharType="separate"/>
          </w:r>
          <w:r>
            <w:rPr>
              <w:highlight w:val="none"/>
            </w:rPr>
            <w:t>26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E2093C4">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_Toc17015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二、专业人才培养方案</w:t>
          </w:r>
          <w:r>
            <w:rPr>
              <w:highlight w:val="none"/>
            </w:rPr>
            <w:tab/>
          </w:r>
          <w:r>
            <w:rPr>
              <w:highlight w:val="none"/>
            </w:rPr>
            <w:fldChar w:fldCharType="begin"/>
          </w:r>
          <w:r>
            <w:rPr>
              <w:highlight w:val="none"/>
            </w:rPr>
            <w:instrText xml:space="preserve"> PAGEREF _Toc17015 \h </w:instrText>
          </w:r>
          <w:r>
            <w:rPr>
              <w:highlight w:val="none"/>
            </w:rPr>
            <w:fldChar w:fldCharType="separate"/>
          </w:r>
          <w:r>
            <w:rPr>
              <w:highlight w:val="none"/>
            </w:rPr>
            <w:t>26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EEDF709">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_Toc12814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三</w:t>
          </w:r>
          <w:r>
            <w:rPr>
              <w:rFonts w:hint="eastAsia" w:ascii="黑体" w:hAnsi="黑体" w:eastAsia="黑体" w:cs="黑体"/>
              <w:szCs w:val="28"/>
              <w:highlight w:val="none"/>
              <w:lang w:eastAsia="zh-CN"/>
            </w:rPr>
            <w:t>、</w:t>
          </w:r>
          <w:r>
            <w:rPr>
              <w:rFonts w:hint="eastAsia" w:ascii="黑体" w:hAnsi="黑体" w:eastAsia="黑体" w:cs="黑体"/>
              <w:szCs w:val="28"/>
              <w:highlight w:val="none"/>
              <w:lang w:val="en-US" w:eastAsia="zh-CN"/>
            </w:rPr>
            <w:t>专业教学条件建设</w:t>
          </w:r>
          <w:r>
            <w:rPr>
              <w:highlight w:val="none"/>
            </w:rPr>
            <w:tab/>
          </w:r>
          <w:r>
            <w:rPr>
              <w:highlight w:val="none"/>
            </w:rPr>
            <w:fldChar w:fldCharType="begin"/>
          </w:r>
          <w:r>
            <w:rPr>
              <w:highlight w:val="none"/>
            </w:rPr>
            <w:instrText xml:space="preserve"> PAGEREF _Toc12814 \h </w:instrText>
          </w:r>
          <w:r>
            <w:rPr>
              <w:highlight w:val="none"/>
            </w:rPr>
            <w:fldChar w:fldCharType="separate"/>
          </w:r>
          <w:r>
            <w:rPr>
              <w:highlight w:val="none"/>
            </w:rPr>
            <w:t>27</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5BDDD6D">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_Toc22954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四</w:t>
          </w:r>
          <w:r>
            <w:rPr>
              <w:rFonts w:hint="eastAsia" w:ascii="黑体" w:hAnsi="黑体" w:eastAsia="黑体" w:cs="黑体"/>
              <w:szCs w:val="28"/>
              <w:highlight w:val="none"/>
              <w:lang w:eastAsia="zh-CN"/>
            </w:rPr>
            <w:t>、</w:t>
          </w:r>
          <w:r>
            <w:rPr>
              <w:rFonts w:hint="eastAsia" w:ascii="黑体" w:hAnsi="黑体" w:eastAsia="黑体" w:cs="黑体"/>
              <w:szCs w:val="28"/>
              <w:highlight w:val="none"/>
              <w:lang w:val="en-US" w:eastAsia="zh-CN"/>
            </w:rPr>
            <w:t>立德树人落实机制</w:t>
          </w:r>
          <w:r>
            <w:rPr>
              <w:highlight w:val="none"/>
            </w:rPr>
            <w:tab/>
          </w:r>
          <w:r>
            <w:rPr>
              <w:highlight w:val="none"/>
            </w:rPr>
            <w:fldChar w:fldCharType="begin"/>
          </w:r>
          <w:r>
            <w:rPr>
              <w:highlight w:val="none"/>
            </w:rPr>
            <w:instrText xml:space="preserve"> PAGEREF _Toc22954 \h </w:instrText>
          </w:r>
          <w:r>
            <w:rPr>
              <w:highlight w:val="none"/>
            </w:rPr>
            <w:fldChar w:fldCharType="separate"/>
          </w:r>
          <w:r>
            <w:rPr>
              <w:highlight w:val="none"/>
            </w:rPr>
            <w:t>28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77D2CAEF">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_Toc30047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五</w:t>
          </w:r>
          <w:r>
            <w:rPr>
              <w:rFonts w:hint="eastAsia" w:ascii="黑体" w:hAnsi="黑体" w:eastAsia="黑体" w:cs="黑体"/>
              <w:szCs w:val="28"/>
              <w:highlight w:val="none"/>
              <w:lang w:eastAsia="zh-CN"/>
            </w:rPr>
            <w:t>、</w:t>
          </w:r>
          <w:r>
            <w:rPr>
              <w:rFonts w:hint="eastAsia" w:ascii="黑体" w:hAnsi="黑体" w:eastAsia="黑体" w:cs="黑体"/>
              <w:szCs w:val="28"/>
              <w:highlight w:val="none"/>
              <w:lang w:val="en-US" w:eastAsia="zh-CN"/>
            </w:rPr>
            <w:t>专业课程体系建设</w:t>
          </w:r>
          <w:r>
            <w:rPr>
              <w:highlight w:val="none"/>
            </w:rPr>
            <w:tab/>
          </w:r>
          <w:r>
            <w:rPr>
              <w:highlight w:val="none"/>
            </w:rPr>
            <w:fldChar w:fldCharType="begin"/>
          </w:r>
          <w:r>
            <w:rPr>
              <w:highlight w:val="none"/>
            </w:rPr>
            <w:instrText xml:space="preserve"> PAGEREF _Toc30047 \h </w:instrText>
          </w:r>
          <w:r>
            <w:rPr>
              <w:highlight w:val="none"/>
            </w:rPr>
            <w:fldChar w:fldCharType="separate"/>
          </w:r>
          <w:r>
            <w:rPr>
              <w:highlight w:val="none"/>
            </w:rPr>
            <w:t>30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02204F41">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_Toc18832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六</w:t>
          </w:r>
          <w:r>
            <w:rPr>
              <w:rFonts w:hint="eastAsia" w:ascii="黑体" w:hAnsi="黑体" w:eastAsia="黑体" w:cs="黑体"/>
              <w:szCs w:val="28"/>
              <w:highlight w:val="none"/>
              <w:lang w:eastAsia="zh-CN"/>
            </w:rPr>
            <w:t>、</w:t>
          </w:r>
          <w:r>
            <w:rPr>
              <w:rFonts w:hint="eastAsia" w:ascii="黑体" w:hAnsi="黑体" w:eastAsia="黑体" w:cs="黑体"/>
              <w:szCs w:val="28"/>
              <w:highlight w:val="none"/>
              <w:lang w:val="en-US" w:eastAsia="zh-CN"/>
            </w:rPr>
            <w:t>学风管理</w:t>
          </w:r>
          <w:r>
            <w:rPr>
              <w:highlight w:val="none"/>
            </w:rPr>
            <w:tab/>
          </w:r>
          <w:r>
            <w:rPr>
              <w:highlight w:val="none"/>
            </w:rPr>
            <w:fldChar w:fldCharType="begin"/>
          </w:r>
          <w:r>
            <w:rPr>
              <w:highlight w:val="none"/>
            </w:rPr>
            <w:instrText xml:space="preserve"> PAGEREF _Toc18832 \h </w:instrText>
          </w:r>
          <w:r>
            <w:rPr>
              <w:highlight w:val="none"/>
            </w:rPr>
            <w:fldChar w:fldCharType="separate"/>
          </w:r>
          <w:r>
            <w:rPr>
              <w:highlight w:val="none"/>
            </w:rPr>
            <w:t>33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99916E0">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_Toc31295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bCs/>
              <w:snapToGrid w:val="0"/>
              <w:position w:val="14"/>
              <w:szCs w:val="30"/>
              <w:highlight w:val="none"/>
              <w:lang w:val="en-US" w:eastAsia="zh-CN" w:bidi="ar-SA"/>
            </w:rPr>
            <w:t xml:space="preserve">第五部分 </w:t>
          </w:r>
          <w:r>
            <w:rPr>
              <w:rFonts w:hint="eastAsia" w:ascii="黑体" w:hAnsi="黑体" w:eastAsia="黑体" w:cs="黑体"/>
              <w:bCs/>
              <w:position w:val="14"/>
              <w:szCs w:val="30"/>
              <w:highlight w:val="none"/>
              <w:lang w:eastAsia="zh-CN"/>
            </w:rPr>
            <w:t>质量保障体系</w:t>
          </w:r>
          <w:r>
            <w:rPr>
              <w:highlight w:val="none"/>
            </w:rPr>
            <w:tab/>
          </w:r>
          <w:r>
            <w:rPr>
              <w:highlight w:val="none"/>
            </w:rPr>
            <w:fldChar w:fldCharType="begin"/>
          </w:r>
          <w:r>
            <w:rPr>
              <w:highlight w:val="none"/>
            </w:rPr>
            <w:instrText xml:space="preserve"> PAGEREF _Toc31295 \h </w:instrText>
          </w:r>
          <w:r>
            <w:rPr>
              <w:highlight w:val="none"/>
            </w:rPr>
            <w:fldChar w:fldCharType="separate"/>
          </w:r>
          <w:r>
            <w:rPr>
              <w:highlight w:val="none"/>
            </w:rPr>
            <w:t>36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2C2460B6">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_Toc14042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一、人才培养中心地位落实情况</w:t>
          </w:r>
          <w:r>
            <w:rPr>
              <w:highlight w:val="none"/>
            </w:rPr>
            <w:tab/>
          </w:r>
          <w:r>
            <w:rPr>
              <w:highlight w:val="none"/>
            </w:rPr>
            <w:fldChar w:fldCharType="begin"/>
          </w:r>
          <w:r>
            <w:rPr>
              <w:highlight w:val="none"/>
            </w:rPr>
            <w:instrText xml:space="preserve"> PAGEREF _Toc14042 \h </w:instrText>
          </w:r>
          <w:r>
            <w:rPr>
              <w:highlight w:val="none"/>
            </w:rPr>
            <w:fldChar w:fldCharType="separate"/>
          </w:r>
          <w:r>
            <w:rPr>
              <w:highlight w:val="none"/>
            </w:rPr>
            <w:t>36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8DE4174">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_Toc20931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二、教学质量保障</w:t>
          </w:r>
          <w:r>
            <w:rPr>
              <w:rFonts w:hint="eastAsia" w:ascii="黑体" w:hAnsi="黑体" w:eastAsia="黑体" w:cs="黑体"/>
              <w:szCs w:val="28"/>
              <w:highlight w:val="none"/>
              <w:lang w:val="en-US" w:eastAsia="zh-CN"/>
            </w:rPr>
            <w:t>体系建设</w:t>
          </w:r>
          <w:r>
            <w:rPr>
              <w:highlight w:val="none"/>
            </w:rPr>
            <w:tab/>
          </w:r>
          <w:r>
            <w:rPr>
              <w:highlight w:val="none"/>
            </w:rPr>
            <w:fldChar w:fldCharType="begin"/>
          </w:r>
          <w:r>
            <w:rPr>
              <w:highlight w:val="none"/>
            </w:rPr>
            <w:instrText xml:space="preserve"> PAGEREF _Toc20931 \h </w:instrText>
          </w:r>
          <w:r>
            <w:rPr>
              <w:highlight w:val="none"/>
            </w:rPr>
            <w:fldChar w:fldCharType="separate"/>
          </w:r>
          <w:r>
            <w:rPr>
              <w:highlight w:val="none"/>
            </w:rPr>
            <w:t>39</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97A3F18">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_Toc6348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三、</w:t>
          </w:r>
          <w:r>
            <w:rPr>
              <w:rFonts w:hint="eastAsia" w:ascii="黑体" w:hAnsi="黑体" w:eastAsia="黑体" w:cs="黑体"/>
              <w:szCs w:val="28"/>
              <w:highlight w:val="none"/>
              <w:lang w:eastAsia="zh-CN"/>
            </w:rPr>
            <w:t>日常监控及运行</w:t>
          </w:r>
          <w:r>
            <w:rPr>
              <w:highlight w:val="none"/>
            </w:rPr>
            <w:tab/>
          </w:r>
          <w:r>
            <w:rPr>
              <w:highlight w:val="none"/>
            </w:rPr>
            <w:fldChar w:fldCharType="begin"/>
          </w:r>
          <w:r>
            <w:rPr>
              <w:highlight w:val="none"/>
            </w:rPr>
            <w:instrText xml:space="preserve"> PAGEREF _Toc6348 \h </w:instrText>
          </w:r>
          <w:r>
            <w:rPr>
              <w:highlight w:val="none"/>
            </w:rPr>
            <w:fldChar w:fldCharType="separate"/>
          </w:r>
          <w:r>
            <w:rPr>
              <w:highlight w:val="none"/>
            </w:rPr>
            <w:t>40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EB77574">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_Toc7832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四、规范教学行为</w:t>
          </w:r>
          <w:r>
            <w:rPr>
              <w:highlight w:val="none"/>
            </w:rPr>
            <w:tab/>
          </w:r>
          <w:r>
            <w:rPr>
              <w:highlight w:val="none"/>
            </w:rPr>
            <w:fldChar w:fldCharType="begin"/>
          </w:r>
          <w:r>
            <w:rPr>
              <w:highlight w:val="none"/>
            </w:rPr>
            <w:instrText xml:space="preserve"> PAGEREF _Toc7832 \h </w:instrText>
          </w:r>
          <w:r>
            <w:rPr>
              <w:highlight w:val="none"/>
            </w:rPr>
            <w:fldChar w:fldCharType="separate"/>
          </w:r>
          <w:r>
            <w:rPr>
              <w:highlight w:val="none"/>
            </w:rPr>
            <w:t>41</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6625800">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_Toc21996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五、专业评估与认证情况</w:t>
          </w:r>
          <w:r>
            <w:rPr>
              <w:highlight w:val="none"/>
            </w:rPr>
            <w:tab/>
          </w:r>
          <w:r>
            <w:rPr>
              <w:highlight w:val="none"/>
            </w:rPr>
            <w:fldChar w:fldCharType="begin"/>
          </w:r>
          <w:r>
            <w:rPr>
              <w:highlight w:val="none"/>
            </w:rPr>
            <w:instrText xml:space="preserve"> PAGEREF _Toc21996 \h </w:instrText>
          </w:r>
          <w:r>
            <w:rPr>
              <w:highlight w:val="none"/>
            </w:rPr>
            <w:fldChar w:fldCharType="separate"/>
          </w:r>
          <w:r>
            <w:rPr>
              <w:highlight w:val="none"/>
            </w:rPr>
            <w:t>41</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DB1E3B8">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_Toc2422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六、本科教学基本状态分析</w:t>
          </w:r>
          <w:r>
            <w:rPr>
              <w:highlight w:val="none"/>
            </w:rPr>
            <w:tab/>
          </w:r>
          <w:r>
            <w:rPr>
              <w:highlight w:val="none"/>
            </w:rPr>
            <w:fldChar w:fldCharType="begin"/>
          </w:r>
          <w:r>
            <w:rPr>
              <w:highlight w:val="none"/>
            </w:rPr>
            <w:instrText xml:space="preserve"> PAGEREF _Toc2422 \h </w:instrText>
          </w:r>
          <w:r>
            <w:rPr>
              <w:highlight w:val="none"/>
            </w:rPr>
            <w:fldChar w:fldCharType="separate"/>
          </w:r>
          <w:r>
            <w:rPr>
              <w:highlight w:val="none"/>
            </w:rPr>
            <w:t>42</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7C143B1">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_Toc1849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七、国际评估情况</w:t>
          </w:r>
          <w:r>
            <w:rPr>
              <w:highlight w:val="none"/>
            </w:rPr>
            <w:tab/>
          </w:r>
          <w:r>
            <w:rPr>
              <w:highlight w:val="none"/>
            </w:rPr>
            <w:fldChar w:fldCharType="begin"/>
          </w:r>
          <w:r>
            <w:rPr>
              <w:highlight w:val="none"/>
            </w:rPr>
            <w:instrText xml:space="preserve"> PAGEREF _Toc1849 \h </w:instrText>
          </w:r>
          <w:r>
            <w:rPr>
              <w:highlight w:val="none"/>
            </w:rPr>
            <w:fldChar w:fldCharType="separate"/>
          </w:r>
          <w:r>
            <w:rPr>
              <w:highlight w:val="none"/>
            </w:rPr>
            <w:t>42</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0E4AA2C">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_Toc5626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bCs/>
              <w:position w:val="14"/>
              <w:szCs w:val="30"/>
              <w:highlight w:val="none"/>
              <w:lang w:eastAsia="zh-CN"/>
            </w:rPr>
            <w:t>第六部分 学生学习效果</w:t>
          </w:r>
          <w:r>
            <w:rPr>
              <w:highlight w:val="none"/>
            </w:rPr>
            <w:tab/>
          </w:r>
          <w:r>
            <w:rPr>
              <w:highlight w:val="none"/>
            </w:rPr>
            <w:fldChar w:fldCharType="begin"/>
          </w:r>
          <w:r>
            <w:rPr>
              <w:highlight w:val="none"/>
            </w:rPr>
            <w:instrText xml:space="preserve"> PAGEREF _Toc5626 \h </w:instrText>
          </w:r>
          <w:r>
            <w:rPr>
              <w:highlight w:val="none"/>
            </w:rPr>
            <w:fldChar w:fldCharType="separate"/>
          </w:r>
          <w:r>
            <w:rPr>
              <w:highlight w:val="none"/>
            </w:rPr>
            <w:t>43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0ABC86A9">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_Toc7693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一、学生学习</w:t>
          </w:r>
          <w:r>
            <w:rPr>
              <w:rFonts w:hint="eastAsia" w:ascii="黑体" w:hAnsi="黑体" w:eastAsia="黑体" w:cs="黑体"/>
              <w:szCs w:val="28"/>
              <w:highlight w:val="none"/>
              <w:lang w:val="en-US" w:eastAsia="zh-CN"/>
            </w:rPr>
            <w:t>满意度情况</w:t>
          </w:r>
          <w:r>
            <w:rPr>
              <w:highlight w:val="none"/>
            </w:rPr>
            <w:tab/>
          </w:r>
          <w:r>
            <w:rPr>
              <w:highlight w:val="none"/>
            </w:rPr>
            <w:fldChar w:fldCharType="begin"/>
          </w:r>
          <w:r>
            <w:rPr>
              <w:highlight w:val="none"/>
            </w:rPr>
            <w:instrText xml:space="preserve"> PAGEREF _Toc7693 \h </w:instrText>
          </w:r>
          <w:r>
            <w:rPr>
              <w:highlight w:val="none"/>
            </w:rPr>
            <w:fldChar w:fldCharType="separate"/>
          </w:r>
          <w:r>
            <w:rPr>
              <w:highlight w:val="none"/>
            </w:rPr>
            <w:t>43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33B85ED">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_Toc17280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二、</w:t>
          </w:r>
          <w:r>
            <w:rPr>
              <w:rFonts w:hint="eastAsia" w:ascii="黑体" w:hAnsi="黑体" w:eastAsia="黑体" w:cs="黑体"/>
              <w:szCs w:val="28"/>
              <w:highlight w:val="none"/>
              <w:lang w:eastAsia="zh-CN"/>
            </w:rPr>
            <w:t>学生竞赛获奖</w:t>
          </w:r>
          <w:r>
            <w:rPr>
              <w:rFonts w:hint="eastAsia" w:ascii="黑体" w:hAnsi="黑体" w:eastAsia="黑体" w:cs="黑体"/>
              <w:szCs w:val="28"/>
              <w:highlight w:val="none"/>
              <w:lang w:val="en-US" w:eastAsia="zh-CN"/>
            </w:rPr>
            <w:t>情况</w:t>
          </w:r>
          <w:r>
            <w:rPr>
              <w:highlight w:val="none"/>
            </w:rPr>
            <w:tab/>
          </w:r>
          <w:r>
            <w:rPr>
              <w:highlight w:val="none"/>
            </w:rPr>
            <w:fldChar w:fldCharType="begin"/>
          </w:r>
          <w:r>
            <w:rPr>
              <w:highlight w:val="none"/>
            </w:rPr>
            <w:instrText xml:space="preserve"> PAGEREF _Toc17280 \h </w:instrText>
          </w:r>
          <w:r>
            <w:rPr>
              <w:highlight w:val="none"/>
            </w:rPr>
            <w:fldChar w:fldCharType="separate"/>
          </w:r>
          <w:r>
            <w:rPr>
              <w:highlight w:val="none"/>
            </w:rPr>
            <w:t>43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229417D0">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_Toc18964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三、应届本科生毕业情况、学位授予情况</w:t>
          </w:r>
          <w:r>
            <w:rPr>
              <w:highlight w:val="none"/>
            </w:rPr>
            <w:tab/>
          </w:r>
          <w:r>
            <w:rPr>
              <w:highlight w:val="none"/>
            </w:rPr>
            <w:fldChar w:fldCharType="begin"/>
          </w:r>
          <w:r>
            <w:rPr>
              <w:highlight w:val="none"/>
            </w:rPr>
            <w:instrText xml:space="preserve"> PAGEREF _Toc18964 \h </w:instrText>
          </w:r>
          <w:r>
            <w:rPr>
              <w:highlight w:val="none"/>
            </w:rPr>
            <w:fldChar w:fldCharType="separate"/>
          </w:r>
          <w:r>
            <w:rPr>
              <w:highlight w:val="none"/>
            </w:rPr>
            <w:t>43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3656CB5">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_Toc445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四、攻读研究生情况</w:t>
          </w:r>
          <w:r>
            <w:rPr>
              <w:highlight w:val="none"/>
            </w:rPr>
            <w:tab/>
          </w:r>
          <w:r>
            <w:rPr>
              <w:highlight w:val="none"/>
            </w:rPr>
            <w:fldChar w:fldCharType="begin"/>
          </w:r>
          <w:r>
            <w:rPr>
              <w:highlight w:val="none"/>
            </w:rPr>
            <w:instrText xml:space="preserve"> PAGEREF _Toc445 \h </w:instrText>
          </w:r>
          <w:r>
            <w:rPr>
              <w:highlight w:val="none"/>
            </w:rPr>
            <w:fldChar w:fldCharType="separate"/>
          </w:r>
          <w:r>
            <w:rPr>
              <w:highlight w:val="none"/>
            </w:rPr>
            <w:t>43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01745F8">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_Toc10243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五、</w:t>
          </w:r>
          <w:r>
            <w:rPr>
              <w:rFonts w:hint="eastAsia" w:ascii="黑体" w:hAnsi="黑体" w:eastAsia="黑体" w:cs="黑体"/>
              <w:szCs w:val="28"/>
              <w:highlight w:val="none"/>
              <w:lang w:eastAsia="zh-CN"/>
            </w:rPr>
            <w:t>就业</w:t>
          </w:r>
          <w:r>
            <w:rPr>
              <w:rFonts w:hint="eastAsia" w:ascii="黑体" w:hAnsi="黑体" w:eastAsia="黑体" w:cs="黑体"/>
              <w:szCs w:val="28"/>
              <w:highlight w:val="none"/>
              <w:lang w:val="en-US" w:eastAsia="zh-CN"/>
            </w:rPr>
            <w:t>情况</w:t>
          </w:r>
          <w:r>
            <w:rPr>
              <w:highlight w:val="none"/>
            </w:rPr>
            <w:tab/>
          </w:r>
          <w:r>
            <w:rPr>
              <w:highlight w:val="none"/>
            </w:rPr>
            <w:fldChar w:fldCharType="begin"/>
          </w:r>
          <w:r>
            <w:rPr>
              <w:highlight w:val="none"/>
            </w:rPr>
            <w:instrText xml:space="preserve"> PAGEREF _Toc10243 \h </w:instrText>
          </w:r>
          <w:r>
            <w:rPr>
              <w:highlight w:val="none"/>
            </w:rPr>
            <w:fldChar w:fldCharType="separate"/>
          </w:r>
          <w:r>
            <w:rPr>
              <w:highlight w:val="none"/>
            </w:rPr>
            <w:t>43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7F15E2E0">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_Toc32545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六、社会用人单位对毕业生评价</w:t>
          </w:r>
          <w:r>
            <w:rPr>
              <w:highlight w:val="none"/>
            </w:rPr>
            <w:tab/>
          </w:r>
          <w:r>
            <w:rPr>
              <w:highlight w:val="none"/>
            </w:rPr>
            <w:fldChar w:fldCharType="begin"/>
          </w:r>
          <w:r>
            <w:rPr>
              <w:highlight w:val="none"/>
            </w:rPr>
            <w:instrText xml:space="preserve"> PAGEREF _Toc32545 \h </w:instrText>
          </w:r>
          <w:r>
            <w:rPr>
              <w:highlight w:val="none"/>
            </w:rPr>
            <w:fldChar w:fldCharType="separate"/>
          </w:r>
          <w:r>
            <w:rPr>
              <w:highlight w:val="none"/>
            </w:rPr>
            <w:t>45</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C97C195">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_Toc18156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七、校友（毕业生）成就</w:t>
          </w:r>
          <w:r>
            <w:rPr>
              <w:highlight w:val="none"/>
            </w:rPr>
            <w:tab/>
          </w:r>
          <w:r>
            <w:rPr>
              <w:highlight w:val="none"/>
            </w:rPr>
            <w:fldChar w:fldCharType="begin"/>
          </w:r>
          <w:r>
            <w:rPr>
              <w:highlight w:val="none"/>
            </w:rPr>
            <w:instrText xml:space="preserve"> PAGEREF _Toc18156 \h </w:instrText>
          </w:r>
          <w:r>
            <w:rPr>
              <w:highlight w:val="none"/>
            </w:rPr>
            <w:fldChar w:fldCharType="separate"/>
          </w:r>
          <w:r>
            <w:rPr>
              <w:highlight w:val="none"/>
            </w:rPr>
            <w:t>46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A8EA4DE">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_Toc18247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bCs/>
              <w:position w:val="14"/>
              <w:szCs w:val="30"/>
              <w:highlight w:val="none"/>
              <w:lang w:eastAsia="zh-CN"/>
            </w:rPr>
            <w:t>第七部分 特色发展</w:t>
          </w:r>
          <w:r>
            <w:rPr>
              <w:highlight w:val="none"/>
            </w:rPr>
            <w:tab/>
          </w:r>
          <w:r>
            <w:rPr>
              <w:highlight w:val="none"/>
            </w:rPr>
            <w:fldChar w:fldCharType="begin"/>
          </w:r>
          <w:r>
            <w:rPr>
              <w:highlight w:val="none"/>
            </w:rPr>
            <w:instrText xml:space="preserve"> PAGEREF _Toc18247 \h </w:instrText>
          </w:r>
          <w:r>
            <w:rPr>
              <w:highlight w:val="none"/>
            </w:rPr>
            <w:fldChar w:fldCharType="separate"/>
          </w:r>
          <w:r>
            <w:rPr>
              <w:highlight w:val="none"/>
            </w:rPr>
            <w:t>47</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6461563">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_Toc16750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一</w:t>
          </w:r>
          <w:r>
            <w:rPr>
              <w:rFonts w:hint="eastAsia" w:ascii="黑体" w:hAnsi="黑体" w:eastAsia="黑体" w:cs="黑体"/>
              <w:szCs w:val="28"/>
              <w:highlight w:val="none"/>
              <w:lang w:eastAsia="zh-CN"/>
            </w:rPr>
            <w:t>、学科专业建设</w:t>
          </w:r>
          <w:r>
            <w:rPr>
              <w:highlight w:val="none"/>
            </w:rPr>
            <w:tab/>
          </w:r>
          <w:r>
            <w:rPr>
              <w:highlight w:val="none"/>
            </w:rPr>
            <w:fldChar w:fldCharType="begin"/>
          </w:r>
          <w:r>
            <w:rPr>
              <w:highlight w:val="none"/>
            </w:rPr>
            <w:instrText xml:space="preserve"> PAGEREF _Toc16750 \h </w:instrText>
          </w:r>
          <w:r>
            <w:rPr>
              <w:highlight w:val="none"/>
            </w:rPr>
            <w:fldChar w:fldCharType="separate"/>
          </w:r>
          <w:r>
            <w:rPr>
              <w:highlight w:val="none"/>
            </w:rPr>
            <w:t>47</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8FFBEB4">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_Toc6663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二</w:t>
          </w:r>
          <w:r>
            <w:rPr>
              <w:rFonts w:hint="eastAsia" w:ascii="黑体" w:hAnsi="黑体" w:eastAsia="黑体" w:cs="黑体"/>
              <w:szCs w:val="28"/>
              <w:highlight w:val="none"/>
              <w:lang w:eastAsia="zh-CN"/>
            </w:rPr>
            <w:t>、应用型人才培养模式改革</w:t>
          </w:r>
          <w:r>
            <w:rPr>
              <w:highlight w:val="none"/>
            </w:rPr>
            <w:tab/>
          </w:r>
          <w:r>
            <w:rPr>
              <w:highlight w:val="none"/>
            </w:rPr>
            <w:fldChar w:fldCharType="begin"/>
          </w:r>
          <w:r>
            <w:rPr>
              <w:highlight w:val="none"/>
            </w:rPr>
            <w:instrText xml:space="preserve"> PAGEREF _Toc6663 \h </w:instrText>
          </w:r>
          <w:r>
            <w:rPr>
              <w:highlight w:val="none"/>
            </w:rPr>
            <w:fldChar w:fldCharType="separate"/>
          </w:r>
          <w:r>
            <w:rPr>
              <w:highlight w:val="none"/>
            </w:rPr>
            <w:t>48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38A2EE0">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_Toc20741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val="en-US" w:eastAsia="zh-CN"/>
            </w:rPr>
            <w:t>三</w:t>
          </w:r>
          <w:r>
            <w:rPr>
              <w:rFonts w:hint="eastAsia" w:ascii="黑体" w:hAnsi="黑体" w:eastAsia="黑体" w:cs="黑体"/>
              <w:szCs w:val="28"/>
              <w:highlight w:val="none"/>
              <w:lang w:eastAsia="zh-CN"/>
            </w:rPr>
            <w:t>、文化育人</w:t>
          </w:r>
          <w:r>
            <w:rPr>
              <w:highlight w:val="none"/>
            </w:rPr>
            <w:tab/>
          </w:r>
          <w:r>
            <w:rPr>
              <w:highlight w:val="none"/>
            </w:rPr>
            <w:fldChar w:fldCharType="begin"/>
          </w:r>
          <w:r>
            <w:rPr>
              <w:highlight w:val="none"/>
            </w:rPr>
            <w:instrText xml:space="preserve"> PAGEREF _Toc20741 \h </w:instrText>
          </w:r>
          <w:r>
            <w:rPr>
              <w:highlight w:val="none"/>
            </w:rPr>
            <w:fldChar w:fldCharType="separate"/>
          </w:r>
          <w:r>
            <w:rPr>
              <w:highlight w:val="none"/>
            </w:rPr>
            <w:t>48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7FA3350C">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_Toc26589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bCs/>
              <w:position w:val="14"/>
              <w:szCs w:val="30"/>
              <w:highlight w:val="none"/>
              <w:lang w:eastAsia="zh-CN"/>
            </w:rPr>
            <w:t>第八部分 需要解决的问题</w:t>
          </w:r>
          <w:r>
            <w:rPr>
              <w:highlight w:val="none"/>
            </w:rPr>
            <w:tab/>
          </w:r>
          <w:r>
            <w:rPr>
              <w:highlight w:val="none"/>
            </w:rPr>
            <w:fldChar w:fldCharType="begin"/>
          </w:r>
          <w:r>
            <w:rPr>
              <w:highlight w:val="none"/>
            </w:rPr>
            <w:instrText xml:space="preserve"> PAGEREF _Toc26589 \h </w:instrText>
          </w:r>
          <w:r>
            <w:rPr>
              <w:highlight w:val="none"/>
            </w:rPr>
            <w:fldChar w:fldCharType="separate"/>
          </w:r>
          <w:r>
            <w:rPr>
              <w:highlight w:val="none"/>
            </w:rPr>
            <w:t>50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0318BAAE">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_Toc13645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一、师资队伍建设方面</w:t>
          </w:r>
          <w:r>
            <w:rPr>
              <w:highlight w:val="none"/>
            </w:rPr>
            <w:tab/>
          </w:r>
          <w:r>
            <w:rPr>
              <w:highlight w:val="none"/>
            </w:rPr>
            <w:fldChar w:fldCharType="begin"/>
          </w:r>
          <w:r>
            <w:rPr>
              <w:highlight w:val="none"/>
            </w:rPr>
            <w:instrText xml:space="preserve"> PAGEREF _Toc13645 \h </w:instrText>
          </w:r>
          <w:r>
            <w:rPr>
              <w:highlight w:val="none"/>
            </w:rPr>
            <w:fldChar w:fldCharType="separate"/>
          </w:r>
          <w:r>
            <w:rPr>
              <w:highlight w:val="none"/>
            </w:rPr>
            <w:t>50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886B1E2">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_Toc1731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二、专业建设方面</w:t>
          </w:r>
          <w:r>
            <w:rPr>
              <w:highlight w:val="none"/>
            </w:rPr>
            <w:tab/>
          </w:r>
          <w:r>
            <w:rPr>
              <w:highlight w:val="none"/>
            </w:rPr>
            <w:fldChar w:fldCharType="begin"/>
          </w:r>
          <w:r>
            <w:rPr>
              <w:highlight w:val="none"/>
            </w:rPr>
            <w:instrText xml:space="preserve"> PAGEREF _Toc1731 \h </w:instrText>
          </w:r>
          <w:r>
            <w:rPr>
              <w:highlight w:val="none"/>
            </w:rPr>
            <w:fldChar w:fldCharType="separate"/>
          </w:r>
          <w:r>
            <w:rPr>
              <w:highlight w:val="none"/>
            </w:rPr>
            <w:t>50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032EFF41">
          <w:pPr>
            <w:pStyle w:val="15"/>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_Toc22011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szCs w:val="28"/>
              <w:highlight w:val="none"/>
              <w:lang w:eastAsia="zh-CN"/>
            </w:rPr>
            <w:t>三、产学研合作方面</w:t>
          </w:r>
          <w:r>
            <w:rPr>
              <w:highlight w:val="none"/>
            </w:rPr>
            <w:tab/>
          </w:r>
          <w:r>
            <w:rPr>
              <w:highlight w:val="none"/>
            </w:rPr>
            <w:fldChar w:fldCharType="begin"/>
          </w:r>
          <w:r>
            <w:rPr>
              <w:highlight w:val="none"/>
            </w:rPr>
            <w:instrText xml:space="preserve"> PAGEREF _Toc22011 \h </w:instrText>
          </w:r>
          <w:r>
            <w:rPr>
              <w:highlight w:val="none"/>
            </w:rPr>
            <w:fldChar w:fldCharType="separate"/>
          </w:r>
          <w:r>
            <w:rPr>
              <w:highlight w:val="none"/>
            </w:rPr>
            <w:t>51</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DD92CCE">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_Toc2744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黑体" w:hAnsi="黑体" w:eastAsia="黑体" w:cs="黑体"/>
              <w:bCs/>
              <w:szCs w:val="30"/>
              <w:highlight w:val="none"/>
              <w:lang w:eastAsia="zh-CN"/>
            </w:rPr>
            <w:t>山东现代学院202</w:t>
          </w:r>
          <w:r>
            <w:rPr>
              <w:rFonts w:hint="eastAsia" w:ascii="黑体" w:hAnsi="黑体" w:eastAsia="黑体" w:cs="黑体"/>
              <w:bCs/>
              <w:szCs w:val="30"/>
              <w:highlight w:val="none"/>
              <w:lang w:val="en-US" w:eastAsia="zh-CN"/>
            </w:rPr>
            <w:t>4</w:t>
          </w:r>
          <w:r>
            <w:rPr>
              <w:rFonts w:hint="eastAsia" w:ascii="宋体" w:hAnsi="宋体" w:eastAsia="宋体" w:cs="宋体"/>
              <w:szCs w:val="24"/>
              <w:highlight w:val="none"/>
              <w:lang w:eastAsia="zh-CN"/>
            </w:rPr>
            <w:t>～</w:t>
          </w:r>
          <w:r>
            <w:rPr>
              <w:rFonts w:hint="eastAsia" w:ascii="黑体" w:hAnsi="黑体" w:eastAsia="黑体" w:cs="黑体"/>
              <w:bCs/>
              <w:szCs w:val="30"/>
              <w:highlight w:val="none"/>
              <w:lang w:eastAsia="zh-CN"/>
            </w:rPr>
            <w:t>202</w:t>
          </w:r>
          <w:r>
            <w:rPr>
              <w:rFonts w:hint="eastAsia" w:ascii="黑体" w:hAnsi="黑体" w:eastAsia="黑体" w:cs="黑体"/>
              <w:bCs/>
              <w:szCs w:val="30"/>
              <w:highlight w:val="none"/>
              <w:lang w:val="en-US" w:eastAsia="zh-CN"/>
            </w:rPr>
            <w:t>5</w:t>
          </w:r>
          <w:r>
            <w:rPr>
              <w:rFonts w:hint="eastAsia" w:ascii="黑体" w:hAnsi="黑体" w:eastAsia="黑体" w:cs="黑体"/>
              <w:bCs/>
              <w:szCs w:val="30"/>
              <w:highlight w:val="none"/>
              <w:lang w:eastAsia="zh-CN"/>
            </w:rPr>
            <w:t>学年本科教学质量报告支撑数据</w:t>
          </w:r>
          <w:r>
            <w:rPr>
              <w:highlight w:val="none"/>
            </w:rPr>
            <w:tab/>
          </w:r>
          <w:r>
            <w:rPr>
              <w:highlight w:val="none"/>
            </w:rPr>
            <w:fldChar w:fldCharType="begin"/>
          </w:r>
          <w:r>
            <w:rPr>
              <w:highlight w:val="none"/>
            </w:rPr>
            <w:instrText xml:space="preserve"> PAGEREF _Toc2744 \h </w:instrText>
          </w:r>
          <w:r>
            <w:rPr>
              <w:highlight w:val="none"/>
            </w:rPr>
            <w:fldChar w:fldCharType="separate"/>
          </w:r>
          <w:r>
            <w:rPr>
              <w:highlight w:val="none"/>
            </w:rPr>
            <w:t>53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976F76C">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_Toc32197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szCs w:val="28"/>
              <w:highlight w:val="none"/>
              <w:lang w:eastAsia="zh-CN"/>
            </w:rPr>
            <w:t>各专业专任教师数量及生师比一览表</w:t>
          </w:r>
          <w:r>
            <w:rPr>
              <w:highlight w:val="none"/>
            </w:rPr>
            <w:tab/>
          </w:r>
          <w:r>
            <w:rPr>
              <w:highlight w:val="none"/>
            </w:rPr>
            <w:fldChar w:fldCharType="begin"/>
          </w:r>
          <w:r>
            <w:rPr>
              <w:highlight w:val="none"/>
            </w:rPr>
            <w:instrText xml:space="preserve"> PAGEREF _Toc32197 \h </w:instrText>
          </w:r>
          <w:r>
            <w:rPr>
              <w:highlight w:val="none"/>
            </w:rPr>
            <w:fldChar w:fldCharType="separate"/>
          </w:r>
          <w:r>
            <w:rPr>
              <w:highlight w:val="none"/>
            </w:rPr>
            <w:t>55</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D5F03B7">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_Toc18302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szCs w:val="28"/>
              <w:highlight w:val="none"/>
              <w:lang w:eastAsia="zh-CN"/>
            </w:rPr>
            <w:t>各专业教师职称结构一览表</w:t>
          </w:r>
          <w:r>
            <w:rPr>
              <w:highlight w:val="none"/>
            </w:rPr>
            <w:tab/>
          </w:r>
          <w:r>
            <w:rPr>
              <w:highlight w:val="none"/>
            </w:rPr>
            <w:fldChar w:fldCharType="begin"/>
          </w:r>
          <w:r>
            <w:rPr>
              <w:highlight w:val="none"/>
            </w:rPr>
            <w:instrText xml:space="preserve"> PAGEREF _Toc18302 \h </w:instrText>
          </w:r>
          <w:r>
            <w:rPr>
              <w:highlight w:val="none"/>
            </w:rPr>
            <w:fldChar w:fldCharType="separate"/>
          </w:r>
          <w:r>
            <w:rPr>
              <w:highlight w:val="none"/>
            </w:rPr>
            <w:t>56</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329D57D">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_Toc15783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szCs w:val="28"/>
              <w:highlight w:val="none"/>
              <w:lang w:eastAsia="zh-CN"/>
            </w:rPr>
            <w:t>各专业教师学位结构一览表</w:t>
          </w:r>
          <w:r>
            <w:rPr>
              <w:highlight w:val="none"/>
            </w:rPr>
            <w:tab/>
          </w:r>
          <w:r>
            <w:rPr>
              <w:highlight w:val="none"/>
            </w:rPr>
            <w:fldChar w:fldCharType="begin"/>
          </w:r>
          <w:r>
            <w:rPr>
              <w:highlight w:val="none"/>
            </w:rPr>
            <w:instrText xml:space="preserve"> PAGEREF _Toc15783 \h </w:instrText>
          </w:r>
          <w:r>
            <w:rPr>
              <w:highlight w:val="none"/>
            </w:rPr>
            <w:fldChar w:fldCharType="separate"/>
          </w:r>
          <w:r>
            <w:rPr>
              <w:highlight w:val="none"/>
            </w:rPr>
            <w:t>57</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00AF387">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_Toc27996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szCs w:val="28"/>
              <w:highlight w:val="none"/>
              <w:lang w:eastAsia="zh-CN"/>
            </w:rPr>
            <w:t>各专业教师年龄结构一览表</w:t>
          </w:r>
          <w:r>
            <w:rPr>
              <w:highlight w:val="none"/>
            </w:rPr>
            <w:tab/>
          </w:r>
          <w:r>
            <w:rPr>
              <w:highlight w:val="none"/>
            </w:rPr>
            <w:fldChar w:fldCharType="begin"/>
          </w:r>
          <w:r>
            <w:rPr>
              <w:highlight w:val="none"/>
            </w:rPr>
            <w:instrText xml:space="preserve"> PAGEREF _Toc27996 \h </w:instrText>
          </w:r>
          <w:r>
            <w:rPr>
              <w:highlight w:val="none"/>
            </w:rPr>
            <w:fldChar w:fldCharType="separate"/>
          </w:r>
          <w:r>
            <w:rPr>
              <w:highlight w:val="none"/>
            </w:rPr>
            <w:t>58</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59301215">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_Toc17182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kern w:val="0"/>
              <w:szCs w:val="28"/>
              <w:highlight w:val="none"/>
              <w:lang w:eastAsia="zh-CN"/>
            </w:rPr>
            <w:t>各专业学分比例情况一览表</w:t>
          </w:r>
          <w:r>
            <w:rPr>
              <w:highlight w:val="none"/>
            </w:rPr>
            <w:tab/>
          </w:r>
          <w:r>
            <w:rPr>
              <w:highlight w:val="none"/>
            </w:rPr>
            <w:fldChar w:fldCharType="begin"/>
          </w:r>
          <w:r>
            <w:rPr>
              <w:highlight w:val="none"/>
            </w:rPr>
            <w:instrText xml:space="preserve"> PAGEREF _Toc17182 \h </w:instrText>
          </w:r>
          <w:r>
            <w:rPr>
              <w:highlight w:val="none"/>
            </w:rPr>
            <w:fldChar w:fldCharType="separate"/>
          </w:r>
          <w:r>
            <w:rPr>
              <w:highlight w:val="none"/>
            </w:rPr>
            <w:t>59</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3546A569">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_Toc232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kern w:val="0"/>
              <w:szCs w:val="28"/>
              <w:highlight w:val="none"/>
              <w:lang w:eastAsia="zh-CN"/>
            </w:rPr>
            <w:t>各专业教授上课情况一览表</w:t>
          </w:r>
          <w:r>
            <w:rPr>
              <w:highlight w:val="none"/>
            </w:rPr>
            <w:tab/>
          </w:r>
          <w:r>
            <w:rPr>
              <w:highlight w:val="none"/>
            </w:rPr>
            <w:fldChar w:fldCharType="begin"/>
          </w:r>
          <w:r>
            <w:rPr>
              <w:highlight w:val="none"/>
            </w:rPr>
            <w:instrText xml:space="preserve"> PAGEREF _Toc232 \h </w:instrText>
          </w:r>
          <w:r>
            <w:rPr>
              <w:highlight w:val="none"/>
            </w:rPr>
            <w:fldChar w:fldCharType="separate"/>
          </w:r>
          <w:r>
            <w:rPr>
              <w:highlight w:val="none"/>
            </w:rPr>
            <w:t>60</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6FCE6FEE">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_Toc326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kern w:val="0"/>
              <w:szCs w:val="28"/>
              <w:highlight w:val="none"/>
              <w:lang w:eastAsia="zh-CN"/>
            </w:rPr>
            <w:t>各专业实习基地情况一览表</w:t>
          </w:r>
          <w:r>
            <w:rPr>
              <w:highlight w:val="none"/>
            </w:rPr>
            <w:tab/>
          </w:r>
          <w:r>
            <w:rPr>
              <w:highlight w:val="none"/>
            </w:rPr>
            <w:fldChar w:fldCharType="begin"/>
          </w:r>
          <w:r>
            <w:rPr>
              <w:highlight w:val="none"/>
            </w:rPr>
            <w:instrText xml:space="preserve"> PAGEREF _Toc326 \h </w:instrText>
          </w:r>
          <w:r>
            <w:rPr>
              <w:highlight w:val="none"/>
            </w:rPr>
            <w:fldChar w:fldCharType="separate"/>
          </w:r>
          <w:r>
            <w:rPr>
              <w:highlight w:val="none"/>
            </w:rPr>
            <w:t>61</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25F232EB">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_Toc11813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kern w:val="0"/>
              <w:szCs w:val="28"/>
              <w:highlight w:val="none"/>
              <w:lang w:eastAsia="zh-CN"/>
            </w:rPr>
            <w:t>各专业毕业生毕业就业情况一览表</w:t>
          </w:r>
          <w:r>
            <w:rPr>
              <w:highlight w:val="none"/>
            </w:rPr>
            <w:tab/>
          </w:r>
          <w:r>
            <w:rPr>
              <w:highlight w:val="none"/>
            </w:rPr>
            <w:fldChar w:fldCharType="begin"/>
          </w:r>
          <w:r>
            <w:rPr>
              <w:highlight w:val="none"/>
            </w:rPr>
            <w:instrText xml:space="preserve"> PAGEREF _Toc11813 \h </w:instrText>
          </w:r>
          <w:r>
            <w:rPr>
              <w:highlight w:val="none"/>
            </w:rPr>
            <w:fldChar w:fldCharType="separate"/>
          </w:r>
          <w:r>
            <w:rPr>
              <w:highlight w:val="none"/>
            </w:rPr>
            <w:t>62</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15C909EB">
          <w:pPr>
            <w:pStyle w:val="14"/>
            <w:tabs>
              <w:tab w:val="right" w:leader="hyphen" w:pos="8839"/>
            </w:tabs>
            <w:rPr>
              <w:highlight w:val="none"/>
            </w:rPr>
          </w:pPr>
          <w:r>
            <w:rPr>
              <w:rFonts w:hint="eastAsia" w:asciiTheme="minorEastAsia" w:hAnsiTheme="minorEastAsia" w:eastAsiaTheme="minorEastAsia" w:cstheme="minorEastAsia"/>
              <w:bCs/>
              <w:iCs/>
              <w:color w:val="auto"/>
              <w:szCs w:val="24"/>
              <w:highlight w:val="none"/>
              <w:lang w:eastAsia="zh-CN"/>
            </w:rPr>
            <w:fldChar w:fldCharType="begin"/>
          </w:r>
          <w:r>
            <w:rPr>
              <w:rFonts w:hint="eastAsia" w:asciiTheme="minorEastAsia" w:hAnsiTheme="minorEastAsia" w:eastAsiaTheme="minorEastAsia" w:cstheme="minorEastAsia"/>
              <w:bCs/>
              <w:iCs/>
              <w:szCs w:val="24"/>
              <w:highlight w:val="none"/>
              <w:lang w:eastAsia="zh-CN"/>
            </w:rPr>
            <w:instrText xml:space="preserve"> HYPERLINK \l _Toc19471 </w:instrText>
          </w:r>
          <w:r>
            <w:rPr>
              <w:rFonts w:hint="eastAsia" w:asciiTheme="minorEastAsia" w:hAnsiTheme="minorEastAsia" w:eastAsiaTheme="minorEastAsia" w:cstheme="minorEastAsia"/>
              <w:bCs/>
              <w:iCs/>
              <w:szCs w:val="24"/>
              <w:highlight w:val="none"/>
              <w:lang w:eastAsia="zh-CN"/>
            </w:rPr>
            <w:fldChar w:fldCharType="separate"/>
          </w:r>
          <w:r>
            <w:rPr>
              <w:rFonts w:hint="eastAsia" w:ascii="宋体" w:hAnsi="宋体" w:eastAsia="宋体" w:cs="宋体"/>
              <w:bCs/>
              <w:spacing w:val="9"/>
              <w:kern w:val="0"/>
              <w:szCs w:val="28"/>
              <w:highlight w:val="none"/>
            </w:rPr>
            <w:t>分专业体质测试合格率</w:t>
          </w:r>
          <w:r>
            <w:rPr>
              <w:highlight w:val="none"/>
            </w:rPr>
            <w:tab/>
          </w:r>
          <w:r>
            <w:rPr>
              <w:highlight w:val="none"/>
            </w:rPr>
            <w:fldChar w:fldCharType="begin"/>
          </w:r>
          <w:r>
            <w:rPr>
              <w:highlight w:val="none"/>
            </w:rPr>
            <w:instrText xml:space="preserve"> PAGEREF _Toc19471 \h </w:instrText>
          </w:r>
          <w:r>
            <w:rPr>
              <w:highlight w:val="none"/>
            </w:rPr>
            <w:fldChar w:fldCharType="separate"/>
          </w:r>
          <w:r>
            <w:rPr>
              <w:highlight w:val="none"/>
            </w:rPr>
            <w:t>63</w:t>
          </w:r>
          <w:r>
            <w:rPr>
              <w:highlight w:val="none"/>
            </w:rPr>
            <w:fldChar w:fldCharType="end"/>
          </w:r>
          <w:r>
            <w:rPr>
              <w:rFonts w:hint="eastAsia" w:asciiTheme="minorEastAsia" w:hAnsiTheme="minorEastAsia" w:eastAsiaTheme="minorEastAsia" w:cstheme="minorEastAsia"/>
              <w:bCs/>
              <w:iCs/>
              <w:color w:val="auto"/>
              <w:szCs w:val="24"/>
              <w:highlight w:val="none"/>
              <w:lang w:eastAsia="zh-CN"/>
            </w:rPr>
            <w:fldChar w:fldCharType="end"/>
          </w:r>
        </w:p>
        <w:p w14:paraId="4C05EADA">
          <w:pPr>
            <w:widowControl w:val="0"/>
            <w:kinsoku/>
            <w:autoSpaceDE/>
            <w:autoSpaceDN/>
            <w:spacing w:line="400" w:lineRule="exact"/>
            <w:ind w:firstLine="420" w:firstLineChars="200"/>
            <w:jc w:val="both"/>
            <w:textAlignment w:val="auto"/>
            <w:rPr>
              <w:rFonts w:asciiTheme="minorEastAsia" w:hAnsiTheme="minorEastAsia" w:eastAsiaTheme="minorEastAsia" w:cstheme="minorEastAsia"/>
              <w:bCs/>
              <w:iCs/>
              <w:color w:val="auto"/>
              <w:sz w:val="24"/>
              <w:szCs w:val="24"/>
              <w:highlight w:val="none"/>
              <w:lang w:eastAsia="zh-CN"/>
            </w:rPr>
          </w:pPr>
          <w:r>
            <w:rPr>
              <w:rFonts w:hint="eastAsia" w:asciiTheme="minorEastAsia" w:hAnsiTheme="minorEastAsia" w:eastAsiaTheme="minorEastAsia" w:cstheme="minorEastAsia"/>
              <w:bCs/>
              <w:iCs/>
              <w:color w:val="auto"/>
              <w:szCs w:val="24"/>
              <w:highlight w:val="none"/>
              <w:lang w:eastAsia="zh-CN"/>
            </w:rPr>
            <w:fldChar w:fldCharType="end"/>
          </w:r>
        </w:p>
      </w:sdtContent>
    </w:sdt>
    <w:p w14:paraId="008BFF8D">
      <w:pPr>
        <w:pStyle w:val="18"/>
        <w:ind w:firstLine="0" w:firstLineChars="0"/>
        <w:jc w:val="center"/>
        <w:rPr>
          <w:rFonts w:ascii="黑体" w:hAnsi="黑体" w:eastAsia="黑体" w:cs="黑体"/>
          <w:b/>
          <w:bCs/>
          <w:sz w:val="36"/>
          <w:szCs w:val="36"/>
          <w:highlight w:val="none"/>
          <w:lang w:eastAsia="zh-CN"/>
        </w:rPr>
      </w:pPr>
    </w:p>
    <w:p w14:paraId="29BB20EA">
      <w:pPr>
        <w:jc w:val="center"/>
        <w:rPr>
          <w:rFonts w:ascii="黑体" w:hAnsi="黑体" w:eastAsia="黑体" w:cs="黑体"/>
          <w:b/>
          <w:bCs/>
          <w:spacing w:val="9"/>
          <w:sz w:val="36"/>
          <w:szCs w:val="36"/>
          <w:highlight w:val="none"/>
          <w:lang w:eastAsia="zh-CN"/>
        </w:rPr>
        <w:sectPr>
          <w:footerReference r:id="rId4" w:type="default"/>
          <w:pgSz w:w="11900" w:h="16840"/>
          <w:pgMar w:top="1440" w:right="1474" w:bottom="1440" w:left="1587" w:header="567" w:footer="1058" w:gutter="0"/>
          <w:pgNumType w:start="1"/>
          <w:cols w:space="720" w:num="1"/>
        </w:sectPr>
      </w:pPr>
    </w:p>
    <w:p w14:paraId="0C3E4EED">
      <w:pPr>
        <w:jc w:val="center"/>
        <w:rPr>
          <w:rFonts w:ascii="黑体" w:hAnsi="黑体" w:eastAsia="黑体" w:cs="黑体"/>
          <w:b/>
          <w:bCs/>
          <w:spacing w:val="9"/>
          <w:sz w:val="36"/>
          <w:szCs w:val="36"/>
          <w:highlight w:val="none"/>
          <w:lang w:eastAsia="zh-CN"/>
        </w:rPr>
      </w:pPr>
    </w:p>
    <w:p w14:paraId="2BCB4219">
      <w:pPr>
        <w:adjustRightInd/>
        <w:snapToGrid/>
        <w:jc w:val="center"/>
        <w:rPr>
          <w:rFonts w:hint="eastAsia" w:ascii="黑体" w:hAnsi="黑体" w:eastAsia="黑体" w:cs="黑体"/>
          <w:b/>
          <w:bCs/>
          <w:sz w:val="36"/>
          <w:szCs w:val="36"/>
          <w:highlight w:val="none"/>
          <w:lang w:eastAsia="zh-CN"/>
        </w:rPr>
      </w:pPr>
      <w:r>
        <w:rPr>
          <w:rFonts w:hint="eastAsia" w:ascii="黑体" w:hAnsi="黑体" w:eastAsia="黑体" w:cs="黑体"/>
          <w:b/>
          <w:bCs/>
          <w:sz w:val="36"/>
          <w:szCs w:val="36"/>
          <w:highlight w:val="none"/>
          <w:lang w:eastAsia="zh-CN"/>
        </w:rPr>
        <w:t>山东现代学院</w:t>
      </w:r>
    </w:p>
    <w:p w14:paraId="30738352">
      <w:pPr>
        <w:adjustRightInd/>
        <w:snapToGrid/>
        <w:jc w:val="center"/>
        <w:rPr>
          <w:rFonts w:ascii="黑体" w:hAnsi="黑体" w:eastAsia="黑体" w:cs="黑体"/>
          <w:b/>
          <w:bCs/>
          <w:sz w:val="36"/>
          <w:szCs w:val="36"/>
          <w:highlight w:val="none"/>
          <w:lang w:eastAsia="zh-CN"/>
        </w:rPr>
      </w:pPr>
      <w:r>
        <w:rPr>
          <w:rFonts w:hint="eastAsia" w:ascii="黑体" w:hAnsi="黑体" w:eastAsia="黑体" w:cs="黑体"/>
          <w:b/>
          <w:bCs/>
          <w:sz w:val="36"/>
          <w:szCs w:val="36"/>
          <w:highlight w:val="none"/>
          <w:lang w:eastAsia="zh-CN"/>
        </w:rPr>
        <w:t>202</w:t>
      </w:r>
      <w:r>
        <w:rPr>
          <w:rFonts w:hint="eastAsia" w:ascii="黑体" w:hAnsi="黑体" w:eastAsia="黑体" w:cs="黑体"/>
          <w:b/>
          <w:bCs/>
          <w:sz w:val="36"/>
          <w:szCs w:val="36"/>
          <w:highlight w:val="none"/>
          <w:lang w:val="en-US" w:eastAsia="zh-CN"/>
        </w:rPr>
        <w:t>4</w:t>
      </w:r>
      <w:r>
        <w:rPr>
          <w:rFonts w:hint="eastAsia" w:ascii="微软雅黑" w:hAnsi="微软雅黑" w:eastAsia="微软雅黑" w:cs="微软雅黑"/>
          <w:b/>
          <w:bCs/>
          <w:sz w:val="36"/>
          <w:szCs w:val="36"/>
          <w:highlight w:val="none"/>
          <w:lang w:val="en-US" w:eastAsia="zh-CN"/>
        </w:rPr>
        <w:t>~</w:t>
      </w:r>
      <w:r>
        <w:rPr>
          <w:rFonts w:hint="eastAsia" w:ascii="黑体" w:hAnsi="黑体" w:eastAsia="黑体" w:cs="黑体"/>
          <w:b/>
          <w:bCs/>
          <w:sz w:val="36"/>
          <w:szCs w:val="36"/>
          <w:highlight w:val="none"/>
          <w:lang w:eastAsia="zh-CN"/>
        </w:rPr>
        <w:t>202</w:t>
      </w:r>
      <w:r>
        <w:rPr>
          <w:rFonts w:hint="eastAsia" w:ascii="黑体" w:hAnsi="黑体" w:eastAsia="黑体" w:cs="黑体"/>
          <w:b/>
          <w:bCs/>
          <w:sz w:val="36"/>
          <w:szCs w:val="36"/>
          <w:highlight w:val="none"/>
          <w:lang w:val="en-US" w:eastAsia="zh-CN"/>
        </w:rPr>
        <w:t>5</w:t>
      </w:r>
      <w:r>
        <w:rPr>
          <w:rFonts w:hint="eastAsia" w:ascii="黑体" w:hAnsi="黑体" w:eastAsia="黑体" w:cs="黑体"/>
          <w:b/>
          <w:bCs/>
          <w:sz w:val="36"/>
          <w:szCs w:val="36"/>
          <w:highlight w:val="none"/>
          <w:lang w:eastAsia="zh-CN"/>
        </w:rPr>
        <w:t>学年本科教学质量报告</w:t>
      </w:r>
    </w:p>
    <w:p w14:paraId="5627E451">
      <w:pPr>
        <w:rPr>
          <w:rFonts w:ascii="黑体" w:hAnsi="黑体" w:eastAsia="黑体" w:cs="黑体"/>
          <w:b/>
          <w:bCs/>
          <w:spacing w:val="9"/>
          <w:sz w:val="36"/>
          <w:szCs w:val="36"/>
          <w:highlight w:val="none"/>
          <w:lang w:eastAsia="zh-CN"/>
        </w:rPr>
      </w:pPr>
    </w:p>
    <w:p w14:paraId="720AD5B5">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jc w:val="both"/>
        <w:textAlignment w:val="baseline"/>
        <w:outlineLvl w:val="0"/>
        <w:rPr>
          <w:rFonts w:ascii="黑体" w:hAnsi="黑体" w:eastAsia="黑体" w:cs="黑体"/>
          <w:b/>
          <w:bCs/>
          <w:sz w:val="30"/>
          <w:szCs w:val="30"/>
          <w:highlight w:val="none"/>
          <w:lang w:eastAsia="zh-CN"/>
        </w:rPr>
      </w:pPr>
      <w:bookmarkStart w:id="12" w:name="_Toc15675"/>
      <w:r>
        <w:rPr>
          <w:rFonts w:hint="eastAsia" w:ascii="黑体" w:hAnsi="黑体" w:eastAsia="黑体" w:cs="黑体"/>
          <w:sz w:val="30"/>
          <w:szCs w:val="30"/>
          <w:highlight w:val="none"/>
          <w:lang w:eastAsia="zh-CN"/>
        </w:rPr>
        <w:t xml:space="preserve">第一部分 </w:t>
      </w:r>
      <w:r>
        <w:rPr>
          <w:rFonts w:ascii="黑体" w:hAnsi="黑体" w:eastAsia="黑体" w:cs="黑体"/>
          <w:sz w:val="30"/>
          <w:szCs w:val="30"/>
          <w:highlight w:val="none"/>
          <w:lang w:eastAsia="zh-CN"/>
        </w:rPr>
        <w:t>本科教育基本情况</w:t>
      </w:r>
      <w:bookmarkEnd w:id="12"/>
    </w:p>
    <w:p w14:paraId="2B6DCDC5">
      <w:pPr>
        <w:keepNext w:val="0"/>
        <w:keepLines w:val="0"/>
        <w:pageBreakBefore w:val="0"/>
        <w:widowControl/>
        <w:kinsoku w:val="0"/>
        <w:wordWrap/>
        <w:overflowPunct/>
        <w:topLinePunct w:val="0"/>
        <w:autoSpaceDE w:val="0"/>
        <w:autoSpaceDN w:val="0"/>
        <w:bidi w:val="0"/>
        <w:adjustRightInd/>
        <w:snapToGrid/>
        <w:spacing w:before="120" w:beforeLines="50" w:after="120" w:afterLines="50"/>
        <w:jc w:val="both"/>
        <w:textAlignment w:val="baseline"/>
        <w:outlineLvl w:val="1"/>
        <w:rPr>
          <w:rFonts w:ascii="黑体" w:hAnsi="黑体" w:eastAsia="黑体" w:cs="黑体"/>
          <w:sz w:val="28"/>
          <w:szCs w:val="28"/>
          <w:highlight w:val="none"/>
          <w:lang w:eastAsia="zh-CN"/>
        </w:rPr>
      </w:pPr>
      <w:bookmarkStart w:id="13" w:name="_Toc25363"/>
      <w:r>
        <w:rPr>
          <w:rFonts w:hint="eastAsia" w:ascii="黑体" w:hAnsi="黑体" w:eastAsia="黑体" w:cs="黑体"/>
          <w:color w:val="auto"/>
          <w:spacing w:val="-2"/>
          <w:sz w:val="28"/>
          <w:szCs w:val="28"/>
          <w:highlight w:val="none"/>
          <w:lang w:eastAsia="zh-CN"/>
        </w:rPr>
        <w:t>一、本科人才培养目标及服务面向</w:t>
      </w:r>
      <w:bookmarkEnd w:id="13"/>
    </w:p>
    <w:p w14:paraId="36AEA3C6">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jc w:val="both"/>
        <w:textAlignment w:val="baseline"/>
        <w:outlineLvl w:val="2"/>
        <w:rPr>
          <w:rFonts w:ascii="黑体" w:hAnsi="黑体" w:eastAsia="黑体" w:cs="黑体"/>
          <w:spacing w:val="-4"/>
          <w:sz w:val="24"/>
          <w:szCs w:val="24"/>
          <w:highlight w:val="none"/>
          <w:lang w:eastAsia="zh-CN"/>
        </w:rPr>
      </w:pPr>
      <w:r>
        <w:rPr>
          <w:rFonts w:hint="eastAsia" w:ascii="黑体" w:hAnsi="黑体" w:eastAsia="黑体" w:cs="黑体"/>
          <w:spacing w:val="-4"/>
          <w:sz w:val="24"/>
          <w:szCs w:val="24"/>
          <w:highlight w:val="none"/>
          <w:lang w:eastAsia="zh-CN"/>
        </w:rPr>
        <w:t>（一）办学类型定位</w:t>
      </w:r>
    </w:p>
    <w:p w14:paraId="323683F7">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地方性、应用型、开放式。</w:t>
      </w:r>
    </w:p>
    <w:p w14:paraId="5E2EA559">
      <w:pPr>
        <w:spacing w:before="120" w:beforeLines="50" w:after="120" w:afterLines="50"/>
        <w:jc w:val="both"/>
        <w:outlineLvl w:val="2"/>
        <w:rPr>
          <w:rFonts w:ascii="黑体" w:hAnsi="黑体" w:eastAsia="黑体" w:cs="黑体"/>
          <w:spacing w:val="-4"/>
          <w:sz w:val="24"/>
          <w:szCs w:val="24"/>
          <w:highlight w:val="none"/>
          <w:lang w:eastAsia="zh-CN"/>
        </w:rPr>
      </w:pPr>
      <w:r>
        <w:rPr>
          <w:rFonts w:hint="eastAsia" w:ascii="黑体" w:hAnsi="黑体" w:eastAsia="黑体" w:cs="黑体"/>
          <w:spacing w:val="-4"/>
          <w:sz w:val="24"/>
          <w:szCs w:val="24"/>
          <w:highlight w:val="none"/>
          <w:lang w:eastAsia="zh-CN"/>
        </w:rPr>
        <w:t>（二）办学层次定位</w:t>
      </w:r>
    </w:p>
    <w:p w14:paraId="7CCA0455">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以全日制普通本科教育为主，专科教育为辅，适时开展专业硕士研究生教育。</w:t>
      </w:r>
    </w:p>
    <w:p w14:paraId="75E7AE66">
      <w:pPr>
        <w:spacing w:before="120" w:beforeLines="50" w:after="120" w:afterLines="50"/>
        <w:jc w:val="both"/>
        <w:outlineLvl w:val="2"/>
        <w:rPr>
          <w:rFonts w:ascii="黑体" w:hAnsi="黑体" w:eastAsia="黑体" w:cs="黑体"/>
          <w:spacing w:val="-4"/>
          <w:sz w:val="24"/>
          <w:szCs w:val="24"/>
          <w:highlight w:val="none"/>
          <w:lang w:eastAsia="zh-CN"/>
        </w:rPr>
      </w:pPr>
      <w:r>
        <w:rPr>
          <w:rFonts w:hint="eastAsia" w:ascii="黑体" w:hAnsi="黑体" w:eastAsia="黑体" w:cs="黑体"/>
          <w:spacing w:val="-4"/>
          <w:sz w:val="24"/>
          <w:szCs w:val="24"/>
          <w:highlight w:val="none"/>
          <w:lang w:eastAsia="zh-CN"/>
        </w:rPr>
        <w:t>（三）服务面向定位</w:t>
      </w:r>
    </w:p>
    <w:p w14:paraId="4C181087">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立足济南，面向山东，辐射全国。</w:t>
      </w:r>
    </w:p>
    <w:p w14:paraId="055FFF89">
      <w:pPr>
        <w:spacing w:before="120" w:beforeLines="50" w:after="120" w:afterLines="50"/>
        <w:jc w:val="both"/>
        <w:outlineLvl w:val="2"/>
        <w:rPr>
          <w:rFonts w:ascii="黑体" w:hAnsi="黑体" w:eastAsia="黑体" w:cs="黑体"/>
          <w:spacing w:val="-4"/>
          <w:sz w:val="24"/>
          <w:szCs w:val="24"/>
          <w:highlight w:val="none"/>
          <w:lang w:eastAsia="zh-CN"/>
        </w:rPr>
      </w:pPr>
      <w:r>
        <w:rPr>
          <w:rFonts w:hint="eastAsia" w:ascii="黑体" w:hAnsi="黑体" w:eastAsia="黑体" w:cs="黑体"/>
          <w:spacing w:val="-4"/>
          <w:sz w:val="24"/>
          <w:szCs w:val="24"/>
          <w:highlight w:val="none"/>
          <w:lang w:eastAsia="zh-CN"/>
        </w:rPr>
        <w:t>（四）学科专业定位</w:t>
      </w:r>
    </w:p>
    <w:p w14:paraId="00C736C8">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以医学、工学为主体，医学、工学、教育学、管理学、艺术学、文学等多学科专业协调发展。</w:t>
      </w:r>
    </w:p>
    <w:p w14:paraId="6B34D579">
      <w:pPr>
        <w:spacing w:before="120" w:beforeLines="50" w:after="120" w:afterLines="50"/>
        <w:jc w:val="both"/>
        <w:outlineLvl w:val="2"/>
        <w:rPr>
          <w:rFonts w:ascii="黑体" w:hAnsi="黑体" w:eastAsia="黑体" w:cs="黑体"/>
          <w:spacing w:val="-4"/>
          <w:sz w:val="24"/>
          <w:szCs w:val="24"/>
          <w:highlight w:val="none"/>
          <w:lang w:eastAsia="zh-CN"/>
        </w:rPr>
      </w:pPr>
      <w:r>
        <w:rPr>
          <w:rFonts w:hint="eastAsia" w:ascii="黑体" w:hAnsi="黑体" w:eastAsia="黑体" w:cs="黑体"/>
          <w:spacing w:val="-4"/>
          <w:sz w:val="24"/>
          <w:szCs w:val="24"/>
          <w:highlight w:val="none"/>
          <w:lang w:eastAsia="zh-CN"/>
        </w:rPr>
        <w:t>（五）人才培养定位</w:t>
      </w:r>
    </w:p>
    <w:p w14:paraId="320CDF2A">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培养理想信念坚定，社会责任感强，基础理论扎实，实践能力过硬，具有现代精神、创新精神、数字素养与智能技术应用能力，德智体美劳全面发展的高素质应用型人才。</w:t>
      </w:r>
    </w:p>
    <w:p w14:paraId="2E76B7AE">
      <w:pPr>
        <w:spacing w:before="120" w:beforeLines="50" w:after="120" w:afterLines="50"/>
        <w:jc w:val="both"/>
        <w:outlineLvl w:val="2"/>
        <w:rPr>
          <w:rFonts w:ascii="黑体" w:hAnsi="黑体" w:eastAsia="黑体" w:cs="黑体"/>
          <w:spacing w:val="-4"/>
          <w:sz w:val="24"/>
          <w:szCs w:val="24"/>
          <w:highlight w:val="none"/>
          <w:lang w:eastAsia="zh-CN"/>
        </w:rPr>
      </w:pPr>
      <w:r>
        <w:rPr>
          <w:rFonts w:hint="eastAsia" w:ascii="黑体" w:hAnsi="黑体" w:eastAsia="黑体" w:cs="黑体"/>
          <w:spacing w:val="-4"/>
          <w:sz w:val="24"/>
          <w:szCs w:val="24"/>
          <w:highlight w:val="none"/>
          <w:lang w:eastAsia="zh-CN"/>
        </w:rPr>
        <w:t>（六）发展目标</w:t>
      </w:r>
    </w:p>
    <w:p w14:paraId="5FFE07FF">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建设特色鲜明的高水平应用型大学。</w:t>
      </w:r>
    </w:p>
    <w:p w14:paraId="0DD4BE66">
      <w:pPr>
        <w:keepNext w:val="0"/>
        <w:keepLines w:val="0"/>
        <w:pageBreakBefore w:val="0"/>
        <w:widowControl/>
        <w:kinsoku w:val="0"/>
        <w:wordWrap/>
        <w:overflowPunct/>
        <w:topLinePunct w:val="0"/>
        <w:autoSpaceDE w:val="0"/>
        <w:autoSpaceDN w:val="0"/>
        <w:bidi w:val="0"/>
        <w:adjustRightInd/>
        <w:snapToGrid/>
        <w:spacing w:before="120" w:beforeLines="50" w:after="120" w:afterLines="50"/>
        <w:jc w:val="both"/>
        <w:textAlignment w:val="baseline"/>
        <w:outlineLvl w:val="1"/>
        <w:rPr>
          <w:rFonts w:hint="eastAsia" w:ascii="黑体" w:hAnsi="黑体" w:eastAsia="黑体" w:cs="黑体"/>
          <w:color w:val="auto"/>
          <w:spacing w:val="-2"/>
          <w:sz w:val="28"/>
          <w:szCs w:val="28"/>
          <w:highlight w:val="none"/>
          <w:lang w:eastAsia="zh-CN"/>
        </w:rPr>
      </w:pPr>
      <w:bookmarkStart w:id="14" w:name="bookmark4"/>
      <w:bookmarkEnd w:id="14"/>
      <w:bookmarkStart w:id="15" w:name="_Toc18961"/>
      <w:r>
        <w:rPr>
          <w:rFonts w:hint="eastAsia" w:ascii="黑体" w:hAnsi="黑体" w:eastAsia="黑体" w:cs="黑体"/>
          <w:color w:val="auto"/>
          <w:spacing w:val="-2"/>
          <w:sz w:val="28"/>
          <w:szCs w:val="28"/>
          <w:highlight w:val="none"/>
          <w:lang w:eastAsia="zh-CN"/>
        </w:rPr>
        <w:t>二、本科专业设置情况</w:t>
      </w:r>
      <w:bookmarkEnd w:id="15"/>
    </w:p>
    <w:p w14:paraId="1042D162">
      <w:pPr>
        <w:adjustRightInd/>
        <w:snapToGrid/>
        <w:spacing w:line="400" w:lineRule="exact"/>
        <w:ind w:firstLine="496"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学校按照“统筹规划、突出优势、重点建设、示范引领”的建设思路，主动服务山东省产业结构调整、经济增长方式转变和山东省“6997”产业布局需求，不断调整优化专业结构布局，重点围绕新一代信息技术、高端装备制造、医养健康、文化创意等产业领域合理规划设置专业。现有本科专业25个,其中工学专业10个，占40%；医学专业7个，占28%；管理学专业3个，占12%；艺术学专业3个，占12%；教育学专业1个，占4%；文学专业1个，占4%，初步形成了以医学、工学为主体，医学、工学、教育学、管理学、艺术学、文学等协调发展，具有一定特色的应用型专业体系。学校制定了《</w:t>
      </w:r>
      <w:r>
        <w:rPr>
          <w:rFonts w:hint="eastAsia" w:ascii="宋体" w:hAnsi="宋体" w:eastAsia="宋体" w:cs="宋体"/>
          <w:color w:val="auto"/>
          <w:spacing w:val="4"/>
          <w:sz w:val="24"/>
          <w:szCs w:val="24"/>
          <w:highlight w:val="none"/>
          <w:lang w:val="en-US" w:eastAsia="zh-CN"/>
        </w:rPr>
        <w:t>本科专业设置与管理办法</w:t>
      </w:r>
      <w:r>
        <w:rPr>
          <w:rFonts w:hint="eastAsia" w:ascii="宋体" w:hAnsi="宋体" w:eastAsia="宋体" w:cs="宋体"/>
          <w:color w:val="auto"/>
          <w:spacing w:val="4"/>
          <w:sz w:val="24"/>
          <w:szCs w:val="24"/>
          <w:highlight w:val="none"/>
          <w:lang w:eastAsia="zh-CN"/>
        </w:rPr>
        <w:t>》，明确专业设置标准，建立专业动态调整机制。近三年新设置数据科学与大数据技术、人工智能、医学检验技术、助产学等战略性新兴产业发展和民生急需相关专业。学校紧紧依托地方产业行业，按照“做强工科类专业、做精医学类专业、做活文化创意类专业、做优现代金融服务类专业、做特教育类专业”的要求，以一流专业建设为引领，不断加强专业内涵建设。现有省级一流本科专业建设点4个,分别为护理学、汽车服务工程、市场营销、计算机科学与技术；校级一流本科专业6个，分别为康复治疗学、中药学、电子信息工程、学前教育、财务管理、土木工程。本科专业设置情况详见表1-1，各学科专业占比情况见图1-1。</w:t>
      </w:r>
    </w:p>
    <w:p w14:paraId="0CBDDFCB">
      <w:pPr>
        <w:spacing w:before="120" w:beforeLines="50" w:after="120" w:afterLines="50"/>
        <w:jc w:val="center"/>
        <w:rPr>
          <w:highlight w:val="none"/>
        </w:rPr>
      </w:pPr>
      <w:r>
        <w:rPr>
          <w:rFonts w:hint="eastAsia" w:ascii="宋体" w:hAnsi="宋体" w:eastAsia="宋体" w:cs="宋体"/>
          <w:spacing w:val="6"/>
          <w:highlight w:val="none"/>
        </w:rPr>
        <w:t>表1</w:t>
      </w:r>
      <w:r>
        <w:rPr>
          <w:rFonts w:hint="eastAsia" w:ascii="宋体" w:hAnsi="宋体" w:eastAsia="宋体" w:cs="宋体"/>
          <w:spacing w:val="6"/>
          <w:highlight w:val="none"/>
          <w:lang w:eastAsia="zh-CN"/>
        </w:rPr>
        <w:t xml:space="preserve">-1 </w:t>
      </w:r>
      <w:r>
        <w:rPr>
          <w:rFonts w:hint="eastAsia" w:ascii="宋体" w:hAnsi="宋体" w:eastAsia="宋体" w:cs="宋体"/>
          <w:spacing w:val="6"/>
          <w:highlight w:val="none"/>
        </w:rPr>
        <w:t>本科专业设置一览表</w:t>
      </w:r>
    </w:p>
    <w:tbl>
      <w:tblPr>
        <w:tblStyle w:val="1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
        <w:gridCol w:w="1028"/>
        <w:gridCol w:w="1965"/>
        <w:gridCol w:w="690"/>
        <w:gridCol w:w="982"/>
        <w:gridCol w:w="885"/>
        <w:gridCol w:w="616"/>
        <w:gridCol w:w="2452"/>
      </w:tblGrid>
      <w:tr w14:paraId="6E71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449" w:type="dxa"/>
            <w:vAlign w:val="center"/>
          </w:tcPr>
          <w:p w14:paraId="02FEA713">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26" name="矩形 26"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7992B6B0"/>
                              </w:txbxContent>
                            </wps:txbx>
                            <wps:bodyPr wrap="square" upright="1"/>
                          </wps:wsp>
                        </a:graphicData>
                      </a:graphic>
                    </wp:anchor>
                  </w:drawing>
                </mc:Choice>
                <mc:Fallback>
                  <w:pict>
                    <v:rect id="_x0000_s1026" o:spid="_x0000_s1026" o:spt="1" style="position:absolute;left:0pt;margin-left:0pt;margin-top:0pt;height:13.5pt;width:54pt;visibility:hidden;z-index:251664384;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bwMedQAAAAEAQAADwAAAAAAAAABACAAAAAiAAAAZHJzL2Rvd25yZXYueG1s&#10;UEsBAhQAFAAAAAgAh07iQICsFBPDAQAAjAMAAA4AAAAAAAAAAQAgAAAAIwEAAGRycy9lMm9Eb2Mu&#10;eG1sUEsFBgAAAAAGAAYAWQEAAFgFAAAAAA==&#10;">
                      <v:fill on="f" focussize="0,0"/>
                      <v:stroke on="f"/>
                      <v:imagedata o:title=""/>
                      <o:lock v:ext="edit" rotation="t" aspectratio="f"/>
                      <v:textbox>
                        <w:txbxContent>
                          <w:p w14:paraId="7992B6B0"/>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65408"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28" name="矩形 28"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1AADC279"/>
                              </w:txbxContent>
                            </wps:txbx>
                            <wps:bodyPr wrap="square" upright="1"/>
                          </wps:wsp>
                        </a:graphicData>
                      </a:graphic>
                    </wp:anchor>
                  </w:drawing>
                </mc:Choice>
                <mc:Fallback>
                  <w:pict>
                    <v:rect id="_x0000_s1026" o:spid="_x0000_s1026" o:spt="1" style="position:absolute;left:0pt;margin-left:0pt;margin-top:0pt;height:13.5pt;width:54pt;visibility:hidden;z-index:251665408;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bwMedQAAAAEAQAADwAAAAAAAAABACAAAAAiAAAAZHJzL2Rvd25yZXYueG1s&#10;UEsBAhQAFAAAAAgAh07iQOUdRWLDAQAAjAMAAA4AAAAAAAAAAQAgAAAAIwEAAGRycy9lMm9Eb2Mu&#10;eG1sUEsFBgAAAAAGAAYAWQEAAFgFAAAAAA==&#10;">
                      <v:fill on="f" focussize="0,0"/>
                      <v:stroke on="f"/>
                      <v:imagedata o:title=""/>
                      <o:lock v:ext="edit" rotation="t" aspectratio="f"/>
                      <v:textbox>
                        <w:txbxContent>
                          <w:p w14:paraId="1AADC279"/>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66432"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25" name="矩形 25"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799D9B87"/>
                              </w:txbxContent>
                            </wps:txbx>
                            <wps:bodyPr wrap="square" upright="1"/>
                          </wps:wsp>
                        </a:graphicData>
                      </a:graphic>
                    </wp:anchor>
                  </w:drawing>
                </mc:Choice>
                <mc:Fallback>
                  <w:pict>
                    <v:rect id="_x0000_s1026" o:spid="_x0000_s1026" o:spt="1" style="position:absolute;left:0pt;margin-left:0pt;margin-top:0pt;height:13.5pt;width:54pt;visibility:hidden;z-index:251666432;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bwMedQAAAAEAQAADwAAAAAAAAABACAAAAAiAAAAZHJzL2Rvd25yZXYueG1s&#10;UEsBAhQAFAAAAAgAh07iQCc79KPDAQAAjAMAAA4AAAAAAAAAAQAgAAAAIwEAAGRycy9lMm9Eb2Mu&#10;eG1sUEsFBgAAAAAGAAYAWQEAAFgFAAAAAA==&#10;">
                      <v:fill on="f" focussize="0,0"/>
                      <v:stroke on="f"/>
                      <v:imagedata o:title=""/>
                      <o:lock v:ext="edit" rotation="t" aspectratio="f"/>
                      <v:textbox>
                        <w:txbxContent>
                          <w:p w14:paraId="799D9B87"/>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67456"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5" name="矩形 5"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689F199E"/>
                              </w:txbxContent>
                            </wps:txbx>
                            <wps:bodyPr wrap="square" upright="1"/>
                          </wps:wsp>
                        </a:graphicData>
                      </a:graphic>
                    </wp:anchor>
                  </w:drawing>
                </mc:Choice>
                <mc:Fallback>
                  <w:pict>
                    <v:rect id="_x0000_s1026" o:spid="_x0000_s1026" o:spt="1" style="position:absolute;left:0pt;margin-left:0pt;margin-top:0pt;height:13.5pt;width:54pt;visibility:hidden;z-index:251667456;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ZvAx51AAAAAQBAAAPAAAAAAAAAAEAIAAAACIAAABkcnMvZG93bnJldi54bWxQ&#10;SwECFAAUAAAACACHTuJAQOl8McIBAACKAwAADgAAAAAAAAABACAAAAAjAQAAZHJzL2Uyb0RvYy54&#10;bWxQSwUGAAAAAAYABgBZAQAAVwUAAAAA&#10;">
                      <v:fill on="f" focussize="0,0"/>
                      <v:stroke on="f"/>
                      <v:imagedata o:title=""/>
                      <o:lock v:ext="edit" rotation="t" aspectratio="f"/>
                      <v:textbox>
                        <w:txbxContent>
                          <w:p w14:paraId="689F199E"/>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68480"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22" name="矩形 22"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6589B029"/>
                              </w:txbxContent>
                            </wps:txbx>
                            <wps:bodyPr wrap="square" upright="1"/>
                          </wps:wsp>
                        </a:graphicData>
                      </a:graphic>
                    </wp:anchor>
                  </w:drawing>
                </mc:Choice>
                <mc:Fallback>
                  <w:pict>
                    <v:rect id="_x0000_s1026" o:spid="_x0000_s1026" o:spt="1" style="position:absolute;left:0pt;margin-left:0pt;margin-top:0pt;height:13.5pt;width:54pt;visibility:hidden;z-index:251668480;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bwMedQAAAAEAQAADwAAAAAAAAABACAAAAAiAAAAZHJzL2Rvd25yZXYueG1s&#10;UEsBAhQAFAAAAAgAh07iQLVg5HbDAQAAjAMAAA4AAAAAAAAAAQAgAAAAIwEAAGRycy9lMm9Eb2Mu&#10;eG1sUEsFBgAAAAAGAAYAWQEAAFgFAAAAAA==&#10;">
                      <v:fill on="f" focussize="0,0"/>
                      <v:stroke on="f"/>
                      <v:imagedata o:title=""/>
                      <o:lock v:ext="edit" rotation="t" aspectratio="f"/>
                      <v:textbox>
                        <w:txbxContent>
                          <w:p w14:paraId="6589B029"/>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69504"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24" name="矩形 24"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69635646"/>
                              </w:txbxContent>
                            </wps:txbx>
                            <wps:bodyPr wrap="square" upright="1"/>
                          </wps:wsp>
                        </a:graphicData>
                      </a:graphic>
                    </wp:anchor>
                  </w:drawing>
                </mc:Choice>
                <mc:Fallback>
                  <w:pict>
                    <v:rect id="_x0000_s1026" o:spid="_x0000_s1026" o:spt="1" style="position:absolute;left:0pt;margin-left:0pt;margin-top:0pt;height:13.5pt;width:54pt;visibility:hidden;z-index:251669504;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bwMedQAAAAEAQAADwAAAAAAAAABACAAAAAiAAAAZHJzL2Rvd25yZXYueG1s&#10;UEsBAhQAFAAAAAgAh07iQLpJVMzDAQAAjAMAAA4AAAAAAAAAAQAgAAAAIwEAAGRycy9lMm9Eb2Mu&#10;eG1sUEsFBgAAAAAGAAYAWQEAAFgFAAAAAA==&#10;">
                      <v:fill on="f" focussize="0,0"/>
                      <v:stroke on="f"/>
                      <v:imagedata o:title=""/>
                      <o:lock v:ext="edit" rotation="t" aspectratio="f"/>
                      <v:textbox>
                        <w:txbxContent>
                          <w:p w14:paraId="69635646"/>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70528"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8" name="矩形 8"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7A7EC57C"/>
                              </w:txbxContent>
                            </wps:txbx>
                            <wps:bodyPr wrap="square" upright="1"/>
                          </wps:wsp>
                        </a:graphicData>
                      </a:graphic>
                    </wp:anchor>
                  </w:drawing>
                </mc:Choice>
                <mc:Fallback>
                  <w:pict>
                    <v:rect id="_x0000_s1026" o:spid="_x0000_s1026" o:spt="1" style="position:absolute;left:0pt;margin-left:0pt;margin-top:0pt;height:13.5pt;width:54pt;visibility:hidden;z-index:251670528;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ZvAx51AAAAAQBAAAPAAAAAAAAAAEAIAAAACIAAABkcnMvZG93bnJldi54bWxQ&#10;SwECFAAUAAAACACHTuJAEp0h08IBAACKAwAADgAAAAAAAAABACAAAAAjAQAAZHJzL2Uyb0RvYy54&#10;bWxQSwUGAAAAAAYABgBZAQAAVwUAAAAA&#10;">
                      <v:fill on="f" focussize="0,0"/>
                      <v:stroke on="f"/>
                      <v:imagedata o:title=""/>
                      <o:lock v:ext="edit" rotation="t" aspectratio="f"/>
                      <v:textbox>
                        <w:txbxContent>
                          <w:p w14:paraId="7A7EC57C"/>
                        </w:txbxContent>
                      </v:textbox>
                    </v:rect>
                  </w:pict>
                </mc:Fallback>
              </mc:AlternateContent>
            </w:r>
            <w:r>
              <w:rPr>
                <w:rFonts w:hint="eastAsia" w:ascii="宋体" w:hAnsi="宋体" w:eastAsia="宋体" w:cs="宋体"/>
                <w:b/>
                <w:bCs/>
                <w:kern w:val="2"/>
                <w:sz w:val="20"/>
                <w:szCs w:val="20"/>
                <w:highlight w:val="none"/>
                <w:lang w:eastAsia="zh-CN"/>
              </w:rPr>
              <mc:AlternateContent>
                <mc:Choice Requires="wps">
                  <w:drawing>
                    <wp:anchor distT="0" distB="0" distL="114300" distR="114300" simplePos="0" relativeHeight="251671552" behindDoc="0" locked="0" layoutInCell="1" hidden="1" allowOverlap="1">
                      <wp:simplePos x="0" y="0"/>
                      <wp:positionH relativeFrom="column">
                        <wp:posOffset>0</wp:posOffset>
                      </wp:positionH>
                      <wp:positionV relativeFrom="paragraph">
                        <wp:posOffset>0</wp:posOffset>
                      </wp:positionV>
                      <wp:extent cx="685800" cy="171450"/>
                      <wp:effectExtent l="0" t="0" r="0" b="0"/>
                      <wp:wrapNone/>
                      <wp:docPr id="27" name="矩形 27" hidden="1"/>
                      <wp:cNvGraphicFramePr/>
                      <a:graphic xmlns:a="http://schemas.openxmlformats.org/drawingml/2006/main">
                        <a:graphicData uri="http://schemas.microsoft.com/office/word/2010/wordprocessingShape">
                          <wps:wsp>
                            <wps:cNvSpPr>
                              <a:spLocks noRot="1"/>
                            </wps:cNvSpPr>
                            <wps:spPr>
                              <a:xfrm>
                                <a:off x="0" y="0"/>
                                <a:ext cx="685800" cy="171450"/>
                              </a:xfrm>
                              <a:prstGeom prst="rect">
                                <a:avLst/>
                              </a:prstGeom>
                              <a:noFill/>
                              <a:ln>
                                <a:noFill/>
                              </a:ln>
                              <a:effectLst/>
                            </wps:spPr>
                            <wps:txbx>
                              <w:txbxContent>
                                <w:p w14:paraId="0120410B"/>
                              </w:txbxContent>
                            </wps:txbx>
                            <wps:bodyPr wrap="square" upright="1"/>
                          </wps:wsp>
                        </a:graphicData>
                      </a:graphic>
                    </wp:anchor>
                  </w:drawing>
                </mc:Choice>
                <mc:Fallback>
                  <w:pict>
                    <v:rect id="_x0000_s1026" o:spid="_x0000_s1026" o:spt="1" style="position:absolute;left:0pt;margin-left:0pt;margin-top:0pt;height:13.5pt;width:54pt;visibility:hidden;z-index:251671552;mso-width-relative:page;mso-height-relative:page;" filled="f" stroked="f" coordsize="21600,21600" o:gfxdata="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GbwMedQAAAAEAQAADwAAAAAAAAABACAAAAAiAAAAZHJzL2Rvd25yZXYueG1s&#10;UEsBAhQAFAAAAAgAh07iQB3etHzDAQAAjAMAAA4AAAAAAAAAAQAgAAAAIwEAAGRycy9lMm9Eb2Mu&#10;eG1sUEsFBgAAAAAGAAYAWQEAAFgFAAAAAA==&#10;">
                      <v:fill on="f" focussize="0,0"/>
                      <v:stroke on="f"/>
                      <v:imagedata o:title=""/>
                      <o:lock v:ext="edit" rotation="t" aspectratio="f"/>
                      <v:textbox>
                        <w:txbxContent>
                          <w:p w14:paraId="0120410B"/>
                        </w:txbxContent>
                      </v:textbox>
                    </v:rect>
                  </w:pict>
                </mc:Fallback>
              </mc:AlternateContent>
            </w:r>
            <w:r>
              <w:rPr>
                <w:rFonts w:hint="eastAsia" w:ascii="宋体" w:hAnsi="宋体" w:eastAsia="宋体" w:cs="宋体"/>
                <w:b/>
                <w:bCs/>
                <w:kern w:val="2"/>
                <w:sz w:val="20"/>
                <w:szCs w:val="20"/>
                <w:highlight w:val="none"/>
              </w:rPr>
              <w:t>序号</w:t>
            </w:r>
          </w:p>
        </w:tc>
        <w:tc>
          <w:tcPr>
            <w:tcW w:w="1028" w:type="dxa"/>
            <w:vAlign w:val="center"/>
          </w:tcPr>
          <w:p w14:paraId="43DF79C0">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专业</w:t>
            </w:r>
          </w:p>
          <w:p w14:paraId="6A6812E9">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代码</w:t>
            </w:r>
          </w:p>
        </w:tc>
        <w:tc>
          <w:tcPr>
            <w:tcW w:w="1965" w:type="dxa"/>
            <w:vAlign w:val="center"/>
          </w:tcPr>
          <w:p w14:paraId="05F51160">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专业名称</w:t>
            </w:r>
          </w:p>
        </w:tc>
        <w:tc>
          <w:tcPr>
            <w:tcW w:w="690" w:type="dxa"/>
            <w:vAlign w:val="center"/>
          </w:tcPr>
          <w:p w14:paraId="6595467F">
            <w:pPr>
              <w:jc w:val="center"/>
              <w:rPr>
                <w:rFonts w:ascii="宋体" w:hAnsi="宋体" w:eastAsia="宋体" w:cs="宋体"/>
                <w:b/>
                <w:bCs/>
                <w:kern w:val="2"/>
                <w:sz w:val="20"/>
                <w:szCs w:val="20"/>
                <w:highlight w:val="none"/>
                <w:lang w:eastAsia="zh-CN"/>
              </w:rPr>
            </w:pPr>
            <w:r>
              <w:rPr>
                <w:rFonts w:hint="eastAsia" w:ascii="宋体" w:hAnsi="宋体" w:eastAsia="宋体" w:cs="宋体"/>
                <w:b/>
                <w:bCs/>
                <w:kern w:val="2"/>
                <w:sz w:val="20"/>
                <w:szCs w:val="20"/>
                <w:highlight w:val="none"/>
              </w:rPr>
              <w:t>修业</w:t>
            </w:r>
          </w:p>
          <w:p w14:paraId="14940B0C">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年限</w:t>
            </w:r>
          </w:p>
        </w:tc>
        <w:tc>
          <w:tcPr>
            <w:tcW w:w="982" w:type="dxa"/>
            <w:vAlign w:val="center"/>
          </w:tcPr>
          <w:p w14:paraId="3D80EB51">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学科</w:t>
            </w:r>
          </w:p>
          <w:p w14:paraId="055DE085">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门类</w:t>
            </w:r>
          </w:p>
        </w:tc>
        <w:tc>
          <w:tcPr>
            <w:tcW w:w="885" w:type="dxa"/>
            <w:vAlign w:val="center"/>
          </w:tcPr>
          <w:p w14:paraId="673F7536">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专业数</w:t>
            </w:r>
          </w:p>
        </w:tc>
        <w:tc>
          <w:tcPr>
            <w:tcW w:w="616" w:type="dxa"/>
            <w:vAlign w:val="center"/>
          </w:tcPr>
          <w:p w14:paraId="762EE1A4">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比例</w:t>
            </w:r>
          </w:p>
        </w:tc>
        <w:tc>
          <w:tcPr>
            <w:tcW w:w="2452" w:type="dxa"/>
            <w:vAlign w:val="center"/>
          </w:tcPr>
          <w:p w14:paraId="3495B80C">
            <w:pPr>
              <w:jc w:val="center"/>
              <w:rPr>
                <w:rFonts w:ascii="宋体" w:hAnsi="宋体" w:eastAsia="宋体" w:cs="宋体"/>
                <w:b/>
                <w:bCs/>
                <w:kern w:val="2"/>
                <w:sz w:val="20"/>
                <w:szCs w:val="20"/>
                <w:highlight w:val="none"/>
              </w:rPr>
            </w:pPr>
            <w:r>
              <w:rPr>
                <w:rFonts w:hint="eastAsia" w:ascii="宋体" w:hAnsi="宋体" w:eastAsia="宋体" w:cs="宋体"/>
                <w:b/>
                <w:bCs/>
                <w:kern w:val="2"/>
                <w:sz w:val="20"/>
                <w:szCs w:val="20"/>
                <w:highlight w:val="none"/>
              </w:rPr>
              <w:t>备注</w:t>
            </w:r>
          </w:p>
        </w:tc>
      </w:tr>
      <w:tr w14:paraId="47CCF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exact"/>
          <w:jc w:val="center"/>
        </w:trPr>
        <w:tc>
          <w:tcPr>
            <w:tcW w:w="449" w:type="dxa"/>
            <w:vAlign w:val="center"/>
          </w:tcPr>
          <w:p w14:paraId="75D11040">
            <w:pPr>
              <w:jc w:val="center"/>
              <w:rPr>
                <w:rFonts w:ascii="宋体" w:hAnsi="宋体" w:eastAsia="宋体" w:cs="宋体"/>
                <w:kern w:val="2"/>
                <w:sz w:val="20"/>
                <w:szCs w:val="20"/>
                <w:highlight w:val="none"/>
              </w:rPr>
            </w:pPr>
            <w:r>
              <w:rPr>
                <w:rFonts w:hint="eastAsia" w:ascii="宋体" w:hAnsi="宋体" w:eastAsia="宋体" w:cs="宋体"/>
                <w:kern w:val="2"/>
                <w:highlight w:val="none"/>
              </w:rPr>
              <w:t>1</w:t>
            </w:r>
          </w:p>
        </w:tc>
        <w:tc>
          <w:tcPr>
            <w:tcW w:w="1028" w:type="dxa"/>
            <w:vAlign w:val="center"/>
          </w:tcPr>
          <w:p w14:paraId="72FFE99D">
            <w:pPr>
              <w:jc w:val="center"/>
              <w:rPr>
                <w:rFonts w:ascii="宋体" w:hAnsi="宋体" w:eastAsia="宋体" w:cs="宋体"/>
                <w:kern w:val="2"/>
                <w:sz w:val="20"/>
                <w:szCs w:val="20"/>
                <w:highlight w:val="none"/>
              </w:rPr>
            </w:pPr>
            <w:r>
              <w:rPr>
                <w:rFonts w:hint="eastAsia" w:ascii="宋体" w:hAnsi="宋体" w:eastAsia="宋体" w:cs="宋体"/>
                <w:kern w:val="2"/>
                <w:highlight w:val="none"/>
              </w:rPr>
              <w:t>080208</w:t>
            </w:r>
          </w:p>
        </w:tc>
        <w:tc>
          <w:tcPr>
            <w:tcW w:w="1965" w:type="dxa"/>
            <w:vAlign w:val="center"/>
          </w:tcPr>
          <w:p w14:paraId="4ADBB572">
            <w:pPr>
              <w:jc w:val="center"/>
              <w:rPr>
                <w:rFonts w:ascii="宋体" w:hAnsi="宋体" w:eastAsia="宋体" w:cs="宋体"/>
                <w:kern w:val="2"/>
                <w:sz w:val="20"/>
                <w:szCs w:val="20"/>
                <w:highlight w:val="none"/>
              </w:rPr>
            </w:pPr>
            <w:r>
              <w:rPr>
                <w:rFonts w:hint="eastAsia" w:ascii="宋体" w:hAnsi="宋体" w:eastAsia="宋体" w:cs="宋体"/>
                <w:kern w:val="2"/>
                <w:highlight w:val="none"/>
              </w:rPr>
              <w:t>汽车服务工程</w:t>
            </w:r>
          </w:p>
        </w:tc>
        <w:tc>
          <w:tcPr>
            <w:tcW w:w="690" w:type="dxa"/>
            <w:vAlign w:val="center"/>
          </w:tcPr>
          <w:p w14:paraId="2C58F711">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restart"/>
            <w:vAlign w:val="center"/>
          </w:tcPr>
          <w:p w14:paraId="704661C7">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工学</w:t>
            </w:r>
          </w:p>
        </w:tc>
        <w:tc>
          <w:tcPr>
            <w:tcW w:w="885" w:type="dxa"/>
            <w:vMerge w:val="restart"/>
            <w:vAlign w:val="center"/>
          </w:tcPr>
          <w:p w14:paraId="2727103D">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10</w:t>
            </w:r>
          </w:p>
        </w:tc>
        <w:tc>
          <w:tcPr>
            <w:tcW w:w="616" w:type="dxa"/>
            <w:vMerge w:val="restart"/>
            <w:vAlign w:val="center"/>
          </w:tcPr>
          <w:p w14:paraId="73124A1E">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40%</w:t>
            </w:r>
          </w:p>
        </w:tc>
        <w:tc>
          <w:tcPr>
            <w:tcW w:w="2452" w:type="dxa"/>
            <w:vAlign w:val="center"/>
          </w:tcPr>
          <w:p w14:paraId="5D6991B8">
            <w:pPr>
              <w:jc w:val="center"/>
              <w:rPr>
                <w:rFonts w:ascii="宋体" w:hAnsi="宋体" w:eastAsia="宋体" w:cs="宋体"/>
                <w:kern w:val="2"/>
                <w:sz w:val="18"/>
                <w:szCs w:val="18"/>
                <w:highlight w:val="none"/>
                <w:lang w:eastAsia="zh-CN"/>
              </w:rPr>
            </w:pPr>
            <w:r>
              <w:rPr>
                <w:rFonts w:hint="eastAsia" w:ascii="宋体" w:hAnsi="宋体" w:eastAsia="宋体" w:cs="宋体"/>
                <w:kern w:val="2"/>
                <w:sz w:val="18"/>
                <w:szCs w:val="18"/>
                <w:highlight w:val="none"/>
                <w:lang w:eastAsia="zh-CN"/>
              </w:rPr>
              <w:t>招生</w:t>
            </w:r>
          </w:p>
          <w:p w14:paraId="39B19CB5">
            <w:pPr>
              <w:jc w:val="center"/>
              <w:rPr>
                <w:rFonts w:ascii="宋体" w:hAnsi="宋体" w:eastAsia="宋体" w:cs="宋体"/>
                <w:kern w:val="2"/>
                <w:sz w:val="20"/>
                <w:szCs w:val="20"/>
                <w:highlight w:val="none"/>
                <w:lang w:eastAsia="zh-CN"/>
              </w:rPr>
            </w:pPr>
            <w:r>
              <w:rPr>
                <w:rFonts w:hint="eastAsia" w:ascii="宋体" w:hAnsi="宋体" w:eastAsia="宋体" w:cs="宋体"/>
                <w:kern w:val="2"/>
                <w:sz w:val="18"/>
                <w:szCs w:val="18"/>
                <w:highlight w:val="none"/>
                <w:lang w:eastAsia="zh-CN"/>
              </w:rPr>
              <w:t>省级一流本科专业建设点</w:t>
            </w:r>
          </w:p>
        </w:tc>
      </w:tr>
      <w:tr w14:paraId="0224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exact"/>
          <w:jc w:val="center"/>
        </w:trPr>
        <w:tc>
          <w:tcPr>
            <w:tcW w:w="449" w:type="dxa"/>
            <w:vAlign w:val="center"/>
          </w:tcPr>
          <w:p w14:paraId="3007C2E0">
            <w:pPr>
              <w:jc w:val="center"/>
              <w:rPr>
                <w:rFonts w:ascii="宋体" w:hAnsi="宋体" w:eastAsia="宋体" w:cs="宋体"/>
                <w:kern w:val="2"/>
                <w:sz w:val="20"/>
                <w:szCs w:val="20"/>
                <w:highlight w:val="none"/>
              </w:rPr>
            </w:pPr>
            <w:r>
              <w:rPr>
                <w:rFonts w:hint="eastAsia" w:ascii="宋体" w:hAnsi="宋体" w:eastAsia="宋体" w:cs="宋体"/>
                <w:kern w:val="2"/>
                <w:highlight w:val="none"/>
              </w:rPr>
              <w:t>2</w:t>
            </w:r>
          </w:p>
        </w:tc>
        <w:tc>
          <w:tcPr>
            <w:tcW w:w="1028" w:type="dxa"/>
            <w:vAlign w:val="center"/>
          </w:tcPr>
          <w:p w14:paraId="4036E5F2">
            <w:pPr>
              <w:jc w:val="center"/>
              <w:rPr>
                <w:rFonts w:ascii="宋体" w:hAnsi="宋体" w:eastAsia="宋体" w:cs="宋体"/>
                <w:kern w:val="2"/>
                <w:sz w:val="20"/>
                <w:szCs w:val="20"/>
                <w:highlight w:val="none"/>
              </w:rPr>
            </w:pPr>
            <w:r>
              <w:rPr>
                <w:rFonts w:hint="eastAsia" w:ascii="宋体" w:hAnsi="宋体" w:eastAsia="宋体" w:cs="宋体"/>
                <w:kern w:val="2"/>
                <w:highlight w:val="none"/>
              </w:rPr>
              <w:t>080701</w:t>
            </w:r>
          </w:p>
        </w:tc>
        <w:tc>
          <w:tcPr>
            <w:tcW w:w="1965" w:type="dxa"/>
            <w:vAlign w:val="center"/>
          </w:tcPr>
          <w:p w14:paraId="1DEA0E9A">
            <w:pPr>
              <w:jc w:val="center"/>
              <w:rPr>
                <w:rFonts w:ascii="宋体" w:hAnsi="宋体" w:eastAsia="宋体" w:cs="宋体"/>
                <w:kern w:val="2"/>
                <w:sz w:val="20"/>
                <w:szCs w:val="20"/>
                <w:highlight w:val="none"/>
              </w:rPr>
            </w:pPr>
            <w:r>
              <w:rPr>
                <w:rFonts w:hint="eastAsia" w:ascii="宋体" w:hAnsi="宋体" w:eastAsia="宋体" w:cs="宋体"/>
                <w:kern w:val="2"/>
                <w:highlight w:val="none"/>
              </w:rPr>
              <w:t>电子信息工程</w:t>
            </w:r>
          </w:p>
        </w:tc>
        <w:tc>
          <w:tcPr>
            <w:tcW w:w="690" w:type="dxa"/>
            <w:vAlign w:val="center"/>
          </w:tcPr>
          <w:p w14:paraId="523397EE">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15A19245">
            <w:pPr>
              <w:jc w:val="center"/>
              <w:rPr>
                <w:rFonts w:ascii="宋体" w:hAnsi="宋体" w:eastAsia="宋体" w:cs="宋体"/>
                <w:kern w:val="2"/>
                <w:sz w:val="20"/>
                <w:szCs w:val="20"/>
                <w:highlight w:val="none"/>
              </w:rPr>
            </w:pPr>
          </w:p>
        </w:tc>
        <w:tc>
          <w:tcPr>
            <w:tcW w:w="885" w:type="dxa"/>
            <w:vMerge w:val="continue"/>
            <w:vAlign w:val="center"/>
          </w:tcPr>
          <w:p w14:paraId="4E70A5EC">
            <w:pPr>
              <w:jc w:val="center"/>
              <w:rPr>
                <w:rFonts w:ascii="宋体" w:hAnsi="宋体" w:eastAsia="宋体" w:cs="宋体"/>
                <w:kern w:val="2"/>
                <w:sz w:val="20"/>
                <w:szCs w:val="20"/>
                <w:highlight w:val="none"/>
              </w:rPr>
            </w:pPr>
          </w:p>
        </w:tc>
        <w:tc>
          <w:tcPr>
            <w:tcW w:w="616" w:type="dxa"/>
            <w:vMerge w:val="continue"/>
            <w:vAlign w:val="center"/>
          </w:tcPr>
          <w:p w14:paraId="3EB04AB8">
            <w:pPr>
              <w:jc w:val="center"/>
              <w:rPr>
                <w:rFonts w:ascii="宋体" w:hAnsi="宋体" w:eastAsia="宋体" w:cs="宋体"/>
                <w:kern w:val="2"/>
                <w:sz w:val="20"/>
                <w:szCs w:val="20"/>
                <w:highlight w:val="none"/>
              </w:rPr>
            </w:pPr>
          </w:p>
        </w:tc>
        <w:tc>
          <w:tcPr>
            <w:tcW w:w="2452" w:type="dxa"/>
            <w:vAlign w:val="center"/>
          </w:tcPr>
          <w:p w14:paraId="60F79CEE">
            <w:pPr>
              <w:jc w:val="center"/>
              <w:rPr>
                <w:rFonts w:ascii="宋体" w:hAnsi="宋体" w:eastAsia="宋体" w:cs="宋体"/>
                <w:kern w:val="2"/>
                <w:sz w:val="18"/>
                <w:szCs w:val="18"/>
                <w:highlight w:val="none"/>
              </w:rPr>
            </w:pPr>
            <w:r>
              <w:rPr>
                <w:rFonts w:hint="eastAsia" w:ascii="宋体" w:hAnsi="宋体" w:eastAsia="宋体" w:cs="宋体"/>
                <w:kern w:val="2"/>
                <w:sz w:val="18"/>
                <w:szCs w:val="18"/>
                <w:highlight w:val="none"/>
              </w:rPr>
              <w:t>招生</w:t>
            </w:r>
          </w:p>
          <w:p w14:paraId="684E5B27">
            <w:pPr>
              <w:jc w:val="center"/>
              <w:rPr>
                <w:rFonts w:ascii="宋体" w:hAnsi="宋体" w:eastAsia="宋体" w:cs="宋体"/>
                <w:kern w:val="2"/>
                <w:sz w:val="18"/>
                <w:szCs w:val="18"/>
                <w:highlight w:val="none"/>
                <w:lang w:eastAsia="zh-CN"/>
              </w:rPr>
            </w:pPr>
            <w:r>
              <w:rPr>
                <w:rFonts w:hint="eastAsia" w:ascii="宋体" w:hAnsi="宋体" w:eastAsia="宋体" w:cs="宋体"/>
                <w:kern w:val="2"/>
                <w:sz w:val="18"/>
                <w:szCs w:val="18"/>
                <w:highlight w:val="none"/>
                <w:lang w:eastAsia="zh-CN"/>
              </w:rPr>
              <w:t>校级一流本科专业</w:t>
            </w:r>
          </w:p>
          <w:p w14:paraId="63E0306F">
            <w:pPr>
              <w:jc w:val="center"/>
              <w:rPr>
                <w:rFonts w:ascii="宋体" w:hAnsi="宋体" w:eastAsia="宋体" w:cs="宋体"/>
                <w:kern w:val="2"/>
                <w:sz w:val="20"/>
                <w:szCs w:val="20"/>
                <w:highlight w:val="none"/>
              </w:rPr>
            </w:pPr>
          </w:p>
        </w:tc>
      </w:tr>
      <w:tr w14:paraId="0E70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449" w:type="dxa"/>
            <w:vAlign w:val="center"/>
          </w:tcPr>
          <w:p w14:paraId="5925E380">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3</w:t>
            </w:r>
          </w:p>
        </w:tc>
        <w:tc>
          <w:tcPr>
            <w:tcW w:w="1028" w:type="dxa"/>
            <w:vAlign w:val="center"/>
          </w:tcPr>
          <w:p w14:paraId="6A23DEDC">
            <w:pPr>
              <w:jc w:val="center"/>
              <w:rPr>
                <w:rFonts w:ascii="宋体" w:hAnsi="宋体" w:eastAsia="宋体" w:cs="宋体"/>
                <w:kern w:val="2"/>
                <w:sz w:val="20"/>
                <w:szCs w:val="20"/>
                <w:highlight w:val="none"/>
              </w:rPr>
            </w:pPr>
            <w:r>
              <w:rPr>
                <w:rFonts w:hint="eastAsia" w:ascii="宋体" w:hAnsi="宋体" w:eastAsia="宋体" w:cs="宋体"/>
                <w:kern w:val="2"/>
                <w:highlight w:val="none"/>
              </w:rPr>
              <w:t>080717T</w:t>
            </w:r>
          </w:p>
        </w:tc>
        <w:tc>
          <w:tcPr>
            <w:tcW w:w="1965" w:type="dxa"/>
            <w:vAlign w:val="center"/>
          </w:tcPr>
          <w:p w14:paraId="0C10D9B2">
            <w:pPr>
              <w:jc w:val="center"/>
              <w:rPr>
                <w:rFonts w:ascii="宋体" w:hAnsi="宋体" w:eastAsia="宋体" w:cs="宋体"/>
                <w:kern w:val="2"/>
                <w:sz w:val="20"/>
                <w:szCs w:val="20"/>
                <w:highlight w:val="none"/>
              </w:rPr>
            </w:pPr>
            <w:r>
              <w:rPr>
                <w:rFonts w:hint="eastAsia" w:ascii="宋体" w:hAnsi="宋体" w:eastAsia="宋体" w:cs="宋体"/>
                <w:kern w:val="2"/>
                <w:highlight w:val="none"/>
              </w:rPr>
              <w:t>人工智能</w:t>
            </w:r>
          </w:p>
        </w:tc>
        <w:tc>
          <w:tcPr>
            <w:tcW w:w="690" w:type="dxa"/>
            <w:vAlign w:val="center"/>
          </w:tcPr>
          <w:p w14:paraId="3751F24D">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35A0A01A">
            <w:pPr>
              <w:jc w:val="center"/>
              <w:rPr>
                <w:rFonts w:ascii="宋体" w:hAnsi="宋体" w:eastAsia="宋体" w:cs="宋体"/>
                <w:kern w:val="2"/>
                <w:sz w:val="20"/>
                <w:szCs w:val="20"/>
                <w:highlight w:val="none"/>
                <w:lang w:eastAsia="zh-CN"/>
              </w:rPr>
            </w:pPr>
          </w:p>
        </w:tc>
        <w:tc>
          <w:tcPr>
            <w:tcW w:w="885" w:type="dxa"/>
            <w:vMerge w:val="continue"/>
            <w:vAlign w:val="center"/>
          </w:tcPr>
          <w:p w14:paraId="1CC224B5">
            <w:pPr>
              <w:jc w:val="center"/>
              <w:rPr>
                <w:rFonts w:ascii="宋体" w:hAnsi="宋体" w:eastAsia="宋体" w:cs="宋体"/>
                <w:kern w:val="2"/>
                <w:sz w:val="20"/>
                <w:szCs w:val="20"/>
                <w:highlight w:val="none"/>
                <w:lang w:eastAsia="zh-CN"/>
              </w:rPr>
            </w:pPr>
          </w:p>
        </w:tc>
        <w:tc>
          <w:tcPr>
            <w:tcW w:w="616" w:type="dxa"/>
            <w:vMerge w:val="continue"/>
            <w:vAlign w:val="center"/>
          </w:tcPr>
          <w:p w14:paraId="332095AF">
            <w:pPr>
              <w:jc w:val="center"/>
              <w:rPr>
                <w:rFonts w:ascii="宋体" w:hAnsi="宋体" w:eastAsia="宋体" w:cs="宋体"/>
                <w:kern w:val="2"/>
                <w:sz w:val="20"/>
                <w:szCs w:val="20"/>
                <w:highlight w:val="none"/>
                <w:lang w:eastAsia="zh-CN"/>
              </w:rPr>
            </w:pPr>
          </w:p>
        </w:tc>
        <w:tc>
          <w:tcPr>
            <w:tcW w:w="2452" w:type="dxa"/>
            <w:vAlign w:val="center"/>
          </w:tcPr>
          <w:p w14:paraId="03892B36">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highlight w:val="none"/>
              </w:rPr>
              <w:t>招生</w:t>
            </w:r>
          </w:p>
        </w:tc>
      </w:tr>
      <w:tr w14:paraId="2C56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jc w:val="center"/>
        </w:trPr>
        <w:tc>
          <w:tcPr>
            <w:tcW w:w="449" w:type="dxa"/>
            <w:vAlign w:val="center"/>
          </w:tcPr>
          <w:p w14:paraId="40A3B950">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4</w:t>
            </w:r>
          </w:p>
        </w:tc>
        <w:tc>
          <w:tcPr>
            <w:tcW w:w="1028" w:type="dxa"/>
            <w:vAlign w:val="center"/>
          </w:tcPr>
          <w:p w14:paraId="5845A650">
            <w:pPr>
              <w:jc w:val="center"/>
              <w:rPr>
                <w:rFonts w:ascii="宋体" w:hAnsi="宋体" w:eastAsia="宋体" w:cs="宋体"/>
                <w:kern w:val="2"/>
                <w:sz w:val="20"/>
                <w:szCs w:val="20"/>
                <w:highlight w:val="none"/>
              </w:rPr>
            </w:pPr>
            <w:r>
              <w:rPr>
                <w:rFonts w:hint="eastAsia" w:ascii="宋体" w:hAnsi="宋体" w:eastAsia="宋体" w:cs="宋体"/>
                <w:kern w:val="2"/>
                <w:highlight w:val="none"/>
              </w:rPr>
              <w:t>080901</w:t>
            </w:r>
          </w:p>
        </w:tc>
        <w:tc>
          <w:tcPr>
            <w:tcW w:w="1965" w:type="dxa"/>
            <w:vAlign w:val="center"/>
          </w:tcPr>
          <w:p w14:paraId="1FBD9AF2">
            <w:pPr>
              <w:jc w:val="center"/>
              <w:rPr>
                <w:rFonts w:ascii="宋体" w:hAnsi="宋体" w:eastAsia="宋体" w:cs="宋体"/>
                <w:kern w:val="2"/>
                <w:sz w:val="20"/>
                <w:szCs w:val="20"/>
                <w:highlight w:val="none"/>
              </w:rPr>
            </w:pPr>
            <w:r>
              <w:rPr>
                <w:rFonts w:hint="eastAsia" w:ascii="宋体" w:hAnsi="宋体" w:eastAsia="宋体" w:cs="宋体"/>
                <w:kern w:val="2"/>
                <w:highlight w:val="none"/>
              </w:rPr>
              <w:t>计算机科学与技术</w:t>
            </w:r>
          </w:p>
        </w:tc>
        <w:tc>
          <w:tcPr>
            <w:tcW w:w="690" w:type="dxa"/>
            <w:vAlign w:val="center"/>
          </w:tcPr>
          <w:p w14:paraId="5375B322">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66BDE68D">
            <w:pPr>
              <w:jc w:val="center"/>
              <w:rPr>
                <w:rFonts w:ascii="宋体" w:hAnsi="宋体" w:eastAsia="宋体" w:cs="宋体"/>
                <w:kern w:val="2"/>
                <w:sz w:val="20"/>
                <w:szCs w:val="20"/>
                <w:highlight w:val="none"/>
              </w:rPr>
            </w:pPr>
          </w:p>
        </w:tc>
        <w:tc>
          <w:tcPr>
            <w:tcW w:w="885" w:type="dxa"/>
            <w:vMerge w:val="continue"/>
            <w:vAlign w:val="center"/>
          </w:tcPr>
          <w:p w14:paraId="4EF36429">
            <w:pPr>
              <w:jc w:val="center"/>
              <w:rPr>
                <w:rFonts w:ascii="宋体" w:hAnsi="宋体" w:eastAsia="宋体" w:cs="宋体"/>
                <w:kern w:val="2"/>
                <w:sz w:val="20"/>
                <w:szCs w:val="20"/>
                <w:highlight w:val="none"/>
              </w:rPr>
            </w:pPr>
          </w:p>
        </w:tc>
        <w:tc>
          <w:tcPr>
            <w:tcW w:w="616" w:type="dxa"/>
            <w:vMerge w:val="continue"/>
            <w:vAlign w:val="center"/>
          </w:tcPr>
          <w:p w14:paraId="364EC15E">
            <w:pPr>
              <w:jc w:val="center"/>
              <w:rPr>
                <w:rFonts w:ascii="宋体" w:hAnsi="宋体" w:eastAsia="宋体" w:cs="宋体"/>
                <w:kern w:val="2"/>
                <w:sz w:val="20"/>
                <w:szCs w:val="20"/>
                <w:highlight w:val="none"/>
              </w:rPr>
            </w:pPr>
          </w:p>
        </w:tc>
        <w:tc>
          <w:tcPr>
            <w:tcW w:w="2452" w:type="dxa"/>
            <w:vAlign w:val="center"/>
          </w:tcPr>
          <w:p w14:paraId="75AEB1E3">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7D5D1AFD">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省级一流本科专业建设点</w:t>
            </w:r>
          </w:p>
        </w:tc>
      </w:tr>
      <w:tr w14:paraId="3C97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exact"/>
          <w:jc w:val="center"/>
        </w:trPr>
        <w:tc>
          <w:tcPr>
            <w:tcW w:w="449" w:type="dxa"/>
            <w:vAlign w:val="center"/>
          </w:tcPr>
          <w:p w14:paraId="79F580B9">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5</w:t>
            </w:r>
          </w:p>
        </w:tc>
        <w:tc>
          <w:tcPr>
            <w:tcW w:w="1028" w:type="dxa"/>
            <w:vAlign w:val="center"/>
          </w:tcPr>
          <w:p w14:paraId="698278DA">
            <w:pPr>
              <w:jc w:val="center"/>
              <w:rPr>
                <w:rFonts w:ascii="宋体" w:hAnsi="宋体" w:eastAsia="宋体" w:cs="宋体"/>
                <w:kern w:val="2"/>
                <w:sz w:val="20"/>
                <w:szCs w:val="20"/>
                <w:highlight w:val="none"/>
              </w:rPr>
            </w:pPr>
            <w:r>
              <w:rPr>
                <w:rFonts w:hint="eastAsia" w:ascii="宋体" w:hAnsi="宋体" w:eastAsia="宋体" w:cs="宋体"/>
                <w:kern w:val="2"/>
                <w:highlight w:val="none"/>
              </w:rPr>
              <w:t>080903</w:t>
            </w:r>
          </w:p>
        </w:tc>
        <w:tc>
          <w:tcPr>
            <w:tcW w:w="1965" w:type="dxa"/>
            <w:vAlign w:val="center"/>
          </w:tcPr>
          <w:p w14:paraId="06489B78">
            <w:pPr>
              <w:jc w:val="center"/>
              <w:rPr>
                <w:rFonts w:ascii="宋体" w:hAnsi="宋体" w:eastAsia="宋体" w:cs="宋体"/>
                <w:kern w:val="2"/>
                <w:sz w:val="20"/>
                <w:szCs w:val="20"/>
                <w:highlight w:val="none"/>
              </w:rPr>
            </w:pPr>
            <w:r>
              <w:rPr>
                <w:rFonts w:hint="eastAsia" w:ascii="宋体" w:hAnsi="宋体" w:eastAsia="宋体" w:cs="宋体"/>
                <w:kern w:val="2"/>
                <w:highlight w:val="none"/>
              </w:rPr>
              <w:t>网络工程</w:t>
            </w:r>
          </w:p>
        </w:tc>
        <w:tc>
          <w:tcPr>
            <w:tcW w:w="690" w:type="dxa"/>
            <w:vAlign w:val="center"/>
          </w:tcPr>
          <w:p w14:paraId="4490657E">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0A7C976A">
            <w:pPr>
              <w:jc w:val="center"/>
              <w:rPr>
                <w:rFonts w:ascii="宋体" w:hAnsi="宋体" w:eastAsia="宋体" w:cs="宋体"/>
                <w:kern w:val="2"/>
                <w:sz w:val="20"/>
                <w:szCs w:val="20"/>
                <w:highlight w:val="none"/>
              </w:rPr>
            </w:pPr>
          </w:p>
        </w:tc>
        <w:tc>
          <w:tcPr>
            <w:tcW w:w="885" w:type="dxa"/>
            <w:vMerge w:val="continue"/>
            <w:vAlign w:val="center"/>
          </w:tcPr>
          <w:p w14:paraId="5FF648AB">
            <w:pPr>
              <w:jc w:val="center"/>
              <w:rPr>
                <w:rFonts w:ascii="宋体" w:hAnsi="宋体" w:eastAsia="宋体" w:cs="宋体"/>
                <w:kern w:val="2"/>
                <w:sz w:val="20"/>
                <w:szCs w:val="20"/>
                <w:highlight w:val="none"/>
              </w:rPr>
            </w:pPr>
          </w:p>
        </w:tc>
        <w:tc>
          <w:tcPr>
            <w:tcW w:w="616" w:type="dxa"/>
            <w:vMerge w:val="continue"/>
            <w:vAlign w:val="center"/>
          </w:tcPr>
          <w:p w14:paraId="73922F74">
            <w:pPr>
              <w:jc w:val="center"/>
              <w:rPr>
                <w:rFonts w:ascii="宋体" w:hAnsi="宋体" w:eastAsia="宋体" w:cs="宋体"/>
                <w:kern w:val="2"/>
                <w:sz w:val="20"/>
                <w:szCs w:val="20"/>
                <w:highlight w:val="none"/>
              </w:rPr>
            </w:pPr>
          </w:p>
        </w:tc>
        <w:tc>
          <w:tcPr>
            <w:tcW w:w="2452" w:type="dxa"/>
            <w:vAlign w:val="center"/>
          </w:tcPr>
          <w:p w14:paraId="4F6034B2">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highlight w:val="none"/>
              </w:rPr>
              <w:t>招生</w:t>
            </w:r>
          </w:p>
        </w:tc>
      </w:tr>
      <w:tr w14:paraId="5E8E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exact"/>
          <w:jc w:val="center"/>
        </w:trPr>
        <w:tc>
          <w:tcPr>
            <w:tcW w:w="449" w:type="dxa"/>
            <w:vAlign w:val="center"/>
          </w:tcPr>
          <w:p w14:paraId="21B750E0">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6</w:t>
            </w:r>
          </w:p>
        </w:tc>
        <w:tc>
          <w:tcPr>
            <w:tcW w:w="1028" w:type="dxa"/>
            <w:vAlign w:val="center"/>
          </w:tcPr>
          <w:p w14:paraId="04D873ED">
            <w:pPr>
              <w:jc w:val="center"/>
              <w:rPr>
                <w:rFonts w:ascii="宋体" w:hAnsi="宋体" w:eastAsia="宋体" w:cs="宋体"/>
                <w:kern w:val="2"/>
                <w:sz w:val="20"/>
                <w:szCs w:val="20"/>
                <w:highlight w:val="none"/>
              </w:rPr>
            </w:pPr>
            <w:r>
              <w:rPr>
                <w:rFonts w:hint="eastAsia" w:ascii="宋体" w:hAnsi="宋体" w:eastAsia="宋体" w:cs="宋体"/>
                <w:kern w:val="2"/>
                <w:highlight w:val="none"/>
              </w:rPr>
              <w:t>080906</w:t>
            </w:r>
          </w:p>
        </w:tc>
        <w:tc>
          <w:tcPr>
            <w:tcW w:w="1965" w:type="dxa"/>
            <w:vAlign w:val="center"/>
          </w:tcPr>
          <w:p w14:paraId="09F93352">
            <w:pPr>
              <w:jc w:val="center"/>
              <w:rPr>
                <w:rFonts w:ascii="宋体" w:hAnsi="宋体" w:eastAsia="宋体" w:cs="宋体"/>
                <w:kern w:val="2"/>
                <w:sz w:val="20"/>
                <w:szCs w:val="20"/>
                <w:highlight w:val="none"/>
              </w:rPr>
            </w:pPr>
            <w:r>
              <w:rPr>
                <w:rFonts w:hint="eastAsia" w:ascii="宋体" w:hAnsi="宋体" w:eastAsia="宋体" w:cs="宋体"/>
                <w:kern w:val="2"/>
                <w:highlight w:val="none"/>
              </w:rPr>
              <w:t>数字媒体技术</w:t>
            </w:r>
          </w:p>
        </w:tc>
        <w:tc>
          <w:tcPr>
            <w:tcW w:w="690" w:type="dxa"/>
            <w:vAlign w:val="center"/>
          </w:tcPr>
          <w:p w14:paraId="521D65FA">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0F5253AF">
            <w:pPr>
              <w:jc w:val="center"/>
              <w:rPr>
                <w:rFonts w:ascii="宋体" w:hAnsi="宋体" w:eastAsia="宋体" w:cs="宋体"/>
                <w:kern w:val="2"/>
                <w:sz w:val="20"/>
                <w:szCs w:val="20"/>
                <w:highlight w:val="none"/>
              </w:rPr>
            </w:pPr>
          </w:p>
        </w:tc>
        <w:tc>
          <w:tcPr>
            <w:tcW w:w="885" w:type="dxa"/>
            <w:vMerge w:val="continue"/>
            <w:vAlign w:val="center"/>
          </w:tcPr>
          <w:p w14:paraId="47161AD4">
            <w:pPr>
              <w:jc w:val="center"/>
              <w:rPr>
                <w:rFonts w:ascii="宋体" w:hAnsi="宋体" w:eastAsia="宋体" w:cs="宋体"/>
                <w:kern w:val="2"/>
                <w:sz w:val="20"/>
                <w:szCs w:val="20"/>
                <w:highlight w:val="none"/>
              </w:rPr>
            </w:pPr>
          </w:p>
        </w:tc>
        <w:tc>
          <w:tcPr>
            <w:tcW w:w="616" w:type="dxa"/>
            <w:vMerge w:val="continue"/>
            <w:vAlign w:val="center"/>
          </w:tcPr>
          <w:p w14:paraId="47D49731">
            <w:pPr>
              <w:jc w:val="center"/>
              <w:rPr>
                <w:rFonts w:ascii="宋体" w:hAnsi="宋体" w:eastAsia="宋体" w:cs="宋体"/>
                <w:kern w:val="2"/>
                <w:sz w:val="20"/>
                <w:szCs w:val="20"/>
                <w:highlight w:val="none"/>
              </w:rPr>
            </w:pPr>
          </w:p>
        </w:tc>
        <w:tc>
          <w:tcPr>
            <w:tcW w:w="2452" w:type="dxa"/>
            <w:vAlign w:val="center"/>
          </w:tcPr>
          <w:p w14:paraId="17EFC153">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72F0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44B71D48">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7</w:t>
            </w:r>
          </w:p>
        </w:tc>
        <w:tc>
          <w:tcPr>
            <w:tcW w:w="1028" w:type="dxa"/>
            <w:vAlign w:val="center"/>
          </w:tcPr>
          <w:p w14:paraId="11F94305">
            <w:pPr>
              <w:jc w:val="center"/>
              <w:rPr>
                <w:rFonts w:ascii="宋体" w:hAnsi="宋体" w:eastAsia="宋体" w:cs="宋体"/>
                <w:kern w:val="2"/>
                <w:sz w:val="20"/>
                <w:szCs w:val="20"/>
                <w:highlight w:val="none"/>
              </w:rPr>
            </w:pPr>
            <w:r>
              <w:rPr>
                <w:rFonts w:hint="eastAsia" w:ascii="宋体" w:hAnsi="宋体" w:eastAsia="宋体" w:cs="宋体"/>
                <w:kern w:val="2"/>
                <w:highlight w:val="none"/>
              </w:rPr>
              <w:t>080910T</w:t>
            </w:r>
          </w:p>
        </w:tc>
        <w:tc>
          <w:tcPr>
            <w:tcW w:w="1965" w:type="dxa"/>
            <w:vAlign w:val="center"/>
          </w:tcPr>
          <w:p w14:paraId="4B26B311">
            <w:pPr>
              <w:jc w:val="center"/>
              <w:rPr>
                <w:rFonts w:ascii="宋体" w:hAnsi="宋体" w:eastAsia="宋体" w:cs="宋体"/>
                <w:kern w:val="2"/>
                <w:sz w:val="20"/>
                <w:szCs w:val="20"/>
                <w:highlight w:val="none"/>
              </w:rPr>
            </w:pPr>
            <w:r>
              <w:rPr>
                <w:rFonts w:hint="eastAsia" w:ascii="宋体" w:hAnsi="宋体" w:eastAsia="宋体" w:cs="宋体"/>
                <w:kern w:val="2"/>
                <w:highlight w:val="none"/>
              </w:rPr>
              <w:t>数据科学与大数据</w:t>
            </w:r>
          </w:p>
        </w:tc>
        <w:tc>
          <w:tcPr>
            <w:tcW w:w="690" w:type="dxa"/>
            <w:vAlign w:val="center"/>
          </w:tcPr>
          <w:p w14:paraId="3C7EC711">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4DFBFD9A">
            <w:pPr>
              <w:jc w:val="center"/>
              <w:rPr>
                <w:rFonts w:ascii="宋体" w:hAnsi="宋体" w:eastAsia="宋体" w:cs="宋体"/>
                <w:kern w:val="2"/>
                <w:sz w:val="20"/>
                <w:szCs w:val="20"/>
                <w:highlight w:val="none"/>
              </w:rPr>
            </w:pPr>
          </w:p>
        </w:tc>
        <w:tc>
          <w:tcPr>
            <w:tcW w:w="885" w:type="dxa"/>
            <w:vMerge w:val="continue"/>
            <w:vAlign w:val="center"/>
          </w:tcPr>
          <w:p w14:paraId="78F79295">
            <w:pPr>
              <w:jc w:val="center"/>
              <w:rPr>
                <w:rFonts w:ascii="宋体" w:hAnsi="宋体" w:eastAsia="宋体" w:cs="宋体"/>
                <w:kern w:val="2"/>
                <w:sz w:val="20"/>
                <w:szCs w:val="20"/>
                <w:highlight w:val="none"/>
              </w:rPr>
            </w:pPr>
          </w:p>
        </w:tc>
        <w:tc>
          <w:tcPr>
            <w:tcW w:w="616" w:type="dxa"/>
            <w:vMerge w:val="continue"/>
            <w:vAlign w:val="center"/>
          </w:tcPr>
          <w:p w14:paraId="538E46F9">
            <w:pPr>
              <w:jc w:val="center"/>
              <w:rPr>
                <w:rFonts w:ascii="宋体" w:hAnsi="宋体" w:eastAsia="宋体" w:cs="宋体"/>
                <w:kern w:val="2"/>
                <w:sz w:val="20"/>
                <w:szCs w:val="20"/>
                <w:highlight w:val="none"/>
              </w:rPr>
            </w:pPr>
          </w:p>
        </w:tc>
        <w:tc>
          <w:tcPr>
            <w:tcW w:w="2452" w:type="dxa"/>
            <w:vAlign w:val="center"/>
          </w:tcPr>
          <w:p w14:paraId="6931A6E5">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6814C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exact"/>
          <w:jc w:val="center"/>
        </w:trPr>
        <w:tc>
          <w:tcPr>
            <w:tcW w:w="449" w:type="dxa"/>
            <w:vAlign w:val="center"/>
          </w:tcPr>
          <w:p w14:paraId="7E58EC39">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8</w:t>
            </w:r>
          </w:p>
        </w:tc>
        <w:tc>
          <w:tcPr>
            <w:tcW w:w="1028" w:type="dxa"/>
            <w:vAlign w:val="center"/>
          </w:tcPr>
          <w:p w14:paraId="34E05125">
            <w:pPr>
              <w:jc w:val="center"/>
              <w:rPr>
                <w:rFonts w:ascii="宋体" w:hAnsi="宋体" w:eastAsia="宋体" w:cs="宋体"/>
                <w:kern w:val="2"/>
                <w:sz w:val="20"/>
                <w:szCs w:val="20"/>
                <w:highlight w:val="none"/>
              </w:rPr>
            </w:pPr>
            <w:r>
              <w:rPr>
                <w:rFonts w:hint="eastAsia" w:ascii="宋体" w:hAnsi="宋体" w:eastAsia="宋体" w:cs="宋体"/>
                <w:kern w:val="2"/>
                <w:highlight w:val="none"/>
              </w:rPr>
              <w:t>081001</w:t>
            </w:r>
          </w:p>
        </w:tc>
        <w:tc>
          <w:tcPr>
            <w:tcW w:w="1965" w:type="dxa"/>
            <w:vAlign w:val="center"/>
          </w:tcPr>
          <w:p w14:paraId="6DFD86D9">
            <w:pPr>
              <w:jc w:val="center"/>
              <w:rPr>
                <w:rFonts w:ascii="宋体" w:hAnsi="宋体" w:eastAsia="宋体" w:cs="宋体"/>
                <w:kern w:val="2"/>
                <w:sz w:val="20"/>
                <w:szCs w:val="20"/>
                <w:highlight w:val="none"/>
              </w:rPr>
            </w:pPr>
            <w:r>
              <w:rPr>
                <w:rFonts w:hint="eastAsia" w:ascii="宋体" w:hAnsi="宋体" w:eastAsia="宋体" w:cs="宋体"/>
                <w:kern w:val="2"/>
                <w:highlight w:val="none"/>
              </w:rPr>
              <w:t>土木工程</w:t>
            </w:r>
          </w:p>
        </w:tc>
        <w:tc>
          <w:tcPr>
            <w:tcW w:w="690" w:type="dxa"/>
            <w:vAlign w:val="center"/>
          </w:tcPr>
          <w:p w14:paraId="7B1518AC">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07F4CDC0">
            <w:pPr>
              <w:jc w:val="center"/>
              <w:rPr>
                <w:rFonts w:ascii="宋体" w:hAnsi="宋体" w:eastAsia="宋体" w:cs="宋体"/>
                <w:kern w:val="2"/>
                <w:sz w:val="20"/>
                <w:szCs w:val="20"/>
                <w:highlight w:val="none"/>
              </w:rPr>
            </w:pPr>
          </w:p>
        </w:tc>
        <w:tc>
          <w:tcPr>
            <w:tcW w:w="885" w:type="dxa"/>
            <w:vMerge w:val="continue"/>
            <w:vAlign w:val="center"/>
          </w:tcPr>
          <w:p w14:paraId="1F107C7C">
            <w:pPr>
              <w:jc w:val="center"/>
              <w:rPr>
                <w:rFonts w:ascii="宋体" w:hAnsi="宋体" w:eastAsia="宋体" w:cs="宋体"/>
                <w:kern w:val="2"/>
                <w:sz w:val="20"/>
                <w:szCs w:val="20"/>
                <w:highlight w:val="none"/>
              </w:rPr>
            </w:pPr>
          </w:p>
        </w:tc>
        <w:tc>
          <w:tcPr>
            <w:tcW w:w="616" w:type="dxa"/>
            <w:vMerge w:val="continue"/>
            <w:vAlign w:val="center"/>
          </w:tcPr>
          <w:p w14:paraId="63887EA1">
            <w:pPr>
              <w:jc w:val="center"/>
              <w:rPr>
                <w:rFonts w:ascii="宋体" w:hAnsi="宋体" w:eastAsia="宋体" w:cs="宋体"/>
                <w:kern w:val="2"/>
                <w:sz w:val="20"/>
                <w:szCs w:val="20"/>
                <w:highlight w:val="none"/>
              </w:rPr>
            </w:pPr>
          </w:p>
        </w:tc>
        <w:tc>
          <w:tcPr>
            <w:tcW w:w="2452" w:type="dxa"/>
            <w:vAlign w:val="center"/>
          </w:tcPr>
          <w:p w14:paraId="2AAE0201">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1B64D34B">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校级一流本科专业</w:t>
            </w:r>
          </w:p>
        </w:tc>
      </w:tr>
      <w:tr w14:paraId="718A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jc w:val="center"/>
        </w:trPr>
        <w:tc>
          <w:tcPr>
            <w:tcW w:w="449" w:type="dxa"/>
            <w:vAlign w:val="center"/>
          </w:tcPr>
          <w:p w14:paraId="4250B132">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9</w:t>
            </w:r>
          </w:p>
        </w:tc>
        <w:tc>
          <w:tcPr>
            <w:tcW w:w="1028" w:type="dxa"/>
            <w:vAlign w:val="center"/>
          </w:tcPr>
          <w:p w14:paraId="472B9DB1">
            <w:pPr>
              <w:jc w:val="center"/>
              <w:rPr>
                <w:rFonts w:ascii="宋体" w:hAnsi="宋体" w:eastAsia="宋体" w:cs="宋体"/>
                <w:kern w:val="2"/>
                <w:sz w:val="20"/>
                <w:szCs w:val="20"/>
                <w:highlight w:val="none"/>
              </w:rPr>
            </w:pPr>
            <w:r>
              <w:rPr>
                <w:rFonts w:hint="eastAsia" w:ascii="宋体" w:hAnsi="宋体" w:eastAsia="宋体" w:cs="宋体"/>
                <w:kern w:val="2"/>
                <w:highlight w:val="none"/>
              </w:rPr>
              <w:t>081801</w:t>
            </w:r>
          </w:p>
        </w:tc>
        <w:tc>
          <w:tcPr>
            <w:tcW w:w="1965" w:type="dxa"/>
            <w:vAlign w:val="center"/>
          </w:tcPr>
          <w:p w14:paraId="1A0471A4">
            <w:pPr>
              <w:jc w:val="center"/>
              <w:rPr>
                <w:rFonts w:ascii="宋体" w:hAnsi="宋体" w:eastAsia="宋体" w:cs="宋体"/>
                <w:kern w:val="2"/>
                <w:sz w:val="20"/>
                <w:szCs w:val="20"/>
                <w:highlight w:val="none"/>
              </w:rPr>
            </w:pPr>
            <w:r>
              <w:rPr>
                <w:rFonts w:hint="eastAsia" w:ascii="宋体" w:hAnsi="宋体" w:eastAsia="宋体" w:cs="宋体"/>
                <w:kern w:val="2"/>
                <w:highlight w:val="none"/>
              </w:rPr>
              <w:t>交通运输</w:t>
            </w:r>
          </w:p>
        </w:tc>
        <w:tc>
          <w:tcPr>
            <w:tcW w:w="690" w:type="dxa"/>
            <w:vAlign w:val="center"/>
          </w:tcPr>
          <w:p w14:paraId="30E10435">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61C71365">
            <w:pPr>
              <w:jc w:val="center"/>
              <w:rPr>
                <w:rFonts w:ascii="宋体" w:hAnsi="宋体" w:eastAsia="宋体" w:cs="宋体"/>
                <w:kern w:val="2"/>
                <w:sz w:val="20"/>
                <w:szCs w:val="20"/>
                <w:highlight w:val="none"/>
              </w:rPr>
            </w:pPr>
          </w:p>
        </w:tc>
        <w:tc>
          <w:tcPr>
            <w:tcW w:w="885" w:type="dxa"/>
            <w:vMerge w:val="continue"/>
            <w:vAlign w:val="center"/>
          </w:tcPr>
          <w:p w14:paraId="283E1692">
            <w:pPr>
              <w:jc w:val="center"/>
              <w:rPr>
                <w:rFonts w:ascii="宋体" w:hAnsi="宋体" w:eastAsia="宋体" w:cs="宋体"/>
                <w:kern w:val="2"/>
                <w:sz w:val="20"/>
                <w:szCs w:val="20"/>
                <w:highlight w:val="none"/>
              </w:rPr>
            </w:pPr>
          </w:p>
        </w:tc>
        <w:tc>
          <w:tcPr>
            <w:tcW w:w="616" w:type="dxa"/>
            <w:vMerge w:val="continue"/>
            <w:vAlign w:val="center"/>
          </w:tcPr>
          <w:p w14:paraId="06350A0A">
            <w:pPr>
              <w:jc w:val="center"/>
              <w:rPr>
                <w:rFonts w:ascii="宋体" w:hAnsi="宋体" w:eastAsia="宋体" w:cs="宋体"/>
                <w:kern w:val="2"/>
                <w:sz w:val="20"/>
                <w:szCs w:val="20"/>
                <w:highlight w:val="none"/>
              </w:rPr>
            </w:pPr>
          </w:p>
        </w:tc>
        <w:tc>
          <w:tcPr>
            <w:tcW w:w="2452" w:type="dxa"/>
            <w:vAlign w:val="center"/>
          </w:tcPr>
          <w:p w14:paraId="3A69C242">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7BBB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449" w:type="dxa"/>
            <w:vAlign w:val="center"/>
          </w:tcPr>
          <w:p w14:paraId="60FF2282">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10</w:t>
            </w:r>
          </w:p>
        </w:tc>
        <w:tc>
          <w:tcPr>
            <w:tcW w:w="1028" w:type="dxa"/>
            <w:vAlign w:val="center"/>
          </w:tcPr>
          <w:p w14:paraId="6BB3B6C9">
            <w:pPr>
              <w:jc w:val="center"/>
              <w:rPr>
                <w:rFonts w:ascii="宋体" w:hAnsi="宋体" w:eastAsia="宋体" w:cs="宋体"/>
                <w:kern w:val="2"/>
                <w:sz w:val="20"/>
                <w:szCs w:val="20"/>
                <w:highlight w:val="none"/>
              </w:rPr>
            </w:pPr>
            <w:r>
              <w:rPr>
                <w:rFonts w:hint="eastAsia" w:ascii="宋体" w:hAnsi="宋体" w:eastAsia="宋体" w:cs="宋体"/>
                <w:kern w:val="2"/>
                <w:highlight w:val="none"/>
              </w:rPr>
              <w:t>120105</w:t>
            </w:r>
          </w:p>
        </w:tc>
        <w:tc>
          <w:tcPr>
            <w:tcW w:w="1965" w:type="dxa"/>
            <w:vAlign w:val="center"/>
          </w:tcPr>
          <w:p w14:paraId="5374C9B5">
            <w:pPr>
              <w:jc w:val="center"/>
              <w:rPr>
                <w:rFonts w:ascii="宋体" w:hAnsi="宋体" w:eastAsia="宋体" w:cs="宋体"/>
                <w:kern w:val="2"/>
                <w:sz w:val="20"/>
                <w:szCs w:val="20"/>
                <w:highlight w:val="none"/>
              </w:rPr>
            </w:pPr>
            <w:r>
              <w:rPr>
                <w:rFonts w:hint="eastAsia" w:ascii="宋体" w:hAnsi="宋体" w:eastAsia="宋体" w:cs="宋体"/>
                <w:kern w:val="2"/>
                <w:highlight w:val="none"/>
              </w:rPr>
              <w:t>工程造价</w:t>
            </w:r>
          </w:p>
        </w:tc>
        <w:tc>
          <w:tcPr>
            <w:tcW w:w="690" w:type="dxa"/>
            <w:vAlign w:val="center"/>
          </w:tcPr>
          <w:p w14:paraId="45D73525">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29940812">
            <w:pPr>
              <w:jc w:val="center"/>
              <w:rPr>
                <w:rFonts w:ascii="宋体" w:hAnsi="宋体" w:eastAsia="宋体" w:cs="宋体"/>
                <w:kern w:val="2"/>
                <w:sz w:val="20"/>
                <w:szCs w:val="20"/>
                <w:highlight w:val="none"/>
              </w:rPr>
            </w:pPr>
          </w:p>
        </w:tc>
        <w:tc>
          <w:tcPr>
            <w:tcW w:w="885" w:type="dxa"/>
            <w:vMerge w:val="continue"/>
            <w:vAlign w:val="center"/>
          </w:tcPr>
          <w:p w14:paraId="7D910CEF">
            <w:pPr>
              <w:jc w:val="center"/>
              <w:rPr>
                <w:rFonts w:ascii="宋体" w:hAnsi="宋体" w:eastAsia="宋体" w:cs="宋体"/>
                <w:kern w:val="2"/>
                <w:sz w:val="20"/>
                <w:szCs w:val="20"/>
                <w:highlight w:val="none"/>
              </w:rPr>
            </w:pPr>
          </w:p>
        </w:tc>
        <w:tc>
          <w:tcPr>
            <w:tcW w:w="616" w:type="dxa"/>
            <w:vMerge w:val="continue"/>
            <w:vAlign w:val="center"/>
          </w:tcPr>
          <w:p w14:paraId="1B5F1F75">
            <w:pPr>
              <w:jc w:val="center"/>
              <w:rPr>
                <w:rFonts w:ascii="宋体" w:hAnsi="宋体" w:eastAsia="宋体" w:cs="宋体"/>
                <w:kern w:val="2"/>
                <w:sz w:val="20"/>
                <w:szCs w:val="20"/>
                <w:highlight w:val="none"/>
              </w:rPr>
            </w:pPr>
          </w:p>
        </w:tc>
        <w:tc>
          <w:tcPr>
            <w:tcW w:w="2452" w:type="dxa"/>
            <w:vAlign w:val="center"/>
          </w:tcPr>
          <w:p w14:paraId="5314EED3">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highlight w:val="none"/>
              </w:rPr>
              <w:t>招生</w:t>
            </w:r>
          </w:p>
        </w:tc>
      </w:tr>
      <w:tr w14:paraId="215D9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exact"/>
          <w:jc w:val="center"/>
        </w:trPr>
        <w:tc>
          <w:tcPr>
            <w:tcW w:w="449" w:type="dxa"/>
            <w:vAlign w:val="center"/>
          </w:tcPr>
          <w:p w14:paraId="394BBFDE">
            <w:pPr>
              <w:jc w:val="center"/>
              <w:rPr>
                <w:rFonts w:ascii="宋体" w:hAnsi="宋体" w:eastAsia="宋体" w:cs="宋体"/>
                <w:kern w:val="2"/>
                <w:sz w:val="20"/>
                <w:szCs w:val="20"/>
                <w:highlight w:val="none"/>
              </w:rPr>
            </w:pPr>
            <w:r>
              <w:rPr>
                <w:rFonts w:hint="eastAsia" w:ascii="宋体" w:hAnsi="宋体" w:eastAsia="宋体" w:cs="宋体"/>
                <w:kern w:val="2"/>
                <w:highlight w:val="none"/>
              </w:rPr>
              <w:t>11</w:t>
            </w:r>
          </w:p>
        </w:tc>
        <w:tc>
          <w:tcPr>
            <w:tcW w:w="1028" w:type="dxa"/>
            <w:vAlign w:val="center"/>
          </w:tcPr>
          <w:p w14:paraId="7FF1AB3C">
            <w:pPr>
              <w:jc w:val="center"/>
              <w:rPr>
                <w:rFonts w:ascii="宋体" w:hAnsi="宋体" w:eastAsia="宋体" w:cs="宋体"/>
                <w:kern w:val="2"/>
                <w:sz w:val="20"/>
                <w:szCs w:val="20"/>
                <w:highlight w:val="none"/>
              </w:rPr>
            </w:pPr>
            <w:r>
              <w:rPr>
                <w:rFonts w:hint="eastAsia" w:ascii="宋体" w:hAnsi="宋体" w:eastAsia="宋体" w:cs="宋体"/>
                <w:kern w:val="2"/>
                <w:highlight w:val="none"/>
              </w:rPr>
              <w:t>100701</w:t>
            </w:r>
          </w:p>
        </w:tc>
        <w:tc>
          <w:tcPr>
            <w:tcW w:w="1965" w:type="dxa"/>
            <w:vAlign w:val="center"/>
          </w:tcPr>
          <w:p w14:paraId="530F77D0">
            <w:pPr>
              <w:jc w:val="center"/>
              <w:rPr>
                <w:rFonts w:ascii="宋体" w:hAnsi="宋体" w:eastAsia="宋体" w:cs="宋体"/>
                <w:kern w:val="2"/>
                <w:sz w:val="20"/>
                <w:szCs w:val="20"/>
                <w:highlight w:val="none"/>
              </w:rPr>
            </w:pPr>
            <w:r>
              <w:rPr>
                <w:rFonts w:hint="eastAsia" w:ascii="宋体" w:hAnsi="宋体" w:eastAsia="宋体" w:cs="宋体"/>
                <w:kern w:val="2"/>
                <w:highlight w:val="none"/>
              </w:rPr>
              <w:t>药学</w:t>
            </w:r>
          </w:p>
        </w:tc>
        <w:tc>
          <w:tcPr>
            <w:tcW w:w="690" w:type="dxa"/>
            <w:vAlign w:val="center"/>
          </w:tcPr>
          <w:p w14:paraId="4EAF7FE3">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restart"/>
            <w:vAlign w:val="center"/>
          </w:tcPr>
          <w:p w14:paraId="388071FA">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医学</w:t>
            </w:r>
          </w:p>
        </w:tc>
        <w:tc>
          <w:tcPr>
            <w:tcW w:w="885" w:type="dxa"/>
            <w:vMerge w:val="restart"/>
            <w:vAlign w:val="center"/>
          </w:tcPr>
          <w:p w14:paraId="22182C23">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7</w:t>
            </w:r>
          </w:p>
        </w:tc>
        <w:tc>
          <w:tcPr>
            <w:tcW w:w="616" w:type="dxa"/>
            <w:vMerge w:val="restart"/>
            <w:vAlign w:val="center"/>
          </w:tcPr>
          <w:p w14:paraId="6644314E">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28%</w:t>
            </w:r>
          </w:p>
        </w:tc>
        <w:tc>
          <w:tcPr>
            <w:tcW w:w="2452" w:type="dxa"/>
            <w:vAlign w:val="center"/>
          </w:tcPr>
          <w:p w14:paraId="0343B926">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3BED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449" w:type="dxa"/>
            <w:vAlign w:val="center"/>
          </w:tcPr>
          <w:p w14:paraId="40A5EBD1">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12</w:t>
            </w:r>
          </w:p>
        </w:tc>
        <w:tc>
          <w:tcPr>
            <w:tcW w:w="1028" w:type="dxa"/>
            <w:vAlign w:val="center"/>
          </w:tcPr>
          <w:p w14:paraId="5E4A2ED4">
            <w:pPr>
              <w:jc w:val="center"/>
              <w:rPr>
                <w:rFonts w:ascii="宋体" w:hAnsi="宋体" w:eastAsia="宋体" w:cs="宋体"/>
                <w:kern w:val="2"/>
                <w:sz w:val="20"/>
                <w:szCs w:val="20"/>
                <w:highlight w:val="none"/>
              </w:rPr>
            </w:pPr>
            <w:r>
              <w:rPr>
                <w:rFonts w:hint="eastAsia" w:ascii="宋体" w:hAnsi="宋体" w:eastAsia="宋体" w:cs="宋体"/>
                <w:kern w:val="2"/>
                <w:highlight w:val="none"/>
              </w:rPr>
              <w:t>100801</w:t>
            </w:r>
          </w:p>
        </w:tc>
        <w:tc>
          <w:tcPr>
            <w:tcW w:w="1965" w:type="dxa"/>
            <w:vAlign w:val="center"/>
          </w:tcPr>
          <w:p w14:paraId="6CE01091">
            <w:pPr>
              <w:jc w:val="center"/>
              <w:rPr>
                <w:rFonts w:ascii="宋体" w:hAnsi="宋体" w:eastAsia="宋体" w:cs="宋体"/>
                <w:kern w:val="2"/>
                <w:sz w:val="20"/>
                <w:szCs w:val="20"/>
                <w:highlight w:val="none"/>
              </w:rPr>
            </w:pPr>
            <w:r>
              <w:rPr>
                <w:rFonts w:hint="eastAsia" w:ascii="宋体" w:hAnsi="宋体" w:eastAsia="宋体" w:cs="宋体"/>
                <w:kern w:val="2"/>
                <w:highlight w:val="none"/>
              </w:rPr>
              <w:t>中药学</w:t>
            </w:r>
          </w:p>
        </w:tc>
        <w:tc>
          <w:tcPr>
            <w:tcW w:w="690" w:type="dxa"/>
            <w:vAlign w:val="center"/>
          </w:tcPr>
          <w:p w14:paraId="6F91FECA">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235894E3">
            <w:pPr>
              <w:jc w:val="center"/>
              <w:rPr>
                <w:rFonts w:ascii="宋体" w:hAnsi="宋体" w:eastAsia="宋体" w:cs="宋体"/>
                <w:kern w:val="2"/>
                <w:sz w:val="20"/>
                <w:szCs w:val="20"/>
                <w:highlight w:val="none"/>
              </w:rPr>
            </w:pPr>
          </w:p>
        </w:tc>
        <w:tc>
          <w:tcPr>
            <w:tcW w:w="885" w:type="dxa"/>
            <w:vMerge w:val="continue"/>
            <w:vAlign w:val="center"/>
          </w:tcPr>
          <w:p w14:paraId="3704EA6C">
            <w:pPr>
              <w:jc w:val="center"/>
              <w:rPr>
                <w:rFonts w:ascii="宋体" w:hAnsi="宋体" w:eastAsia="宋体" w:cs="宋体"/>
                <w:kern w:val="2"/>
                <w:sz w:val="20"/>
                <w:szCs w:val="20"/>
                <w:highlight w:val="none"/>
              </w:rPr>
            </w:pPr>
          </w:p>
        </w:tc>
        <w:tc>
          <w:tcPr>
            <w:tcW w:w="616" w:type="dxa"/>
            <w:vMerge w:val="continue"/>
            <w:vAlign w:val="center"/>
          </w:tcPr>
          <w:p w14:paraId="78088A5E">
            <w:pPr>
              <w:jc w:val="center"/>
              <w:rPr>
                <w:rFonts w:ascii="宋体" w:hAnsi="宋体" w:eastAsia="宋体" w:cs="宋体"/>
                <w:kern w:val="2"/>
                <w:sz w:val="20"/>
                <w:szCs w:val="20"/>
                <w:highlight w:val="none"/>
              </w:rPr>
            </w:pPr>
          </w:p>
        </w:tc>
        <w:tc>
          <w:tcPr>
            <w:tcW w:w="2452" w:type="dxa"/>
            <w:vAlign w:val="center"/>
          </w:tcPr>
          <w:p w14:paraId="30823AC5">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3FCF7E52">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校级一流本科专业</w:t>
            </w:r>
          </w:p>
        </w:tc>
      </w:tr>
      <w:tr w14:paraId="55AE0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exact"/>
          <w:jc w:val="center"/>
        </w:trPr>
        <w:tc>
          <w:tcPr>
            <w:tcW w:w="449" w:type="dxa"/>
            <w:vAlign w:val="center"/>
          </w:tcPr>
          <w:p w14:paraId="0849D8BB">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13</w:t>
            </w:r>
          </w:p>
        </w:tc>
        <w:tc>
          <w:tcPr>
            <w:tcW w:w="1028" w:type="dxa"/>
            <w:vAlign w:val="center"/>
          </w:tcPr>
          <w:p w14:paraId="2E332C47">
            <w:pPr>
              <w:jc w:val="center"/>
              <w:rPr>
                <w:rFonts w:ascii="宋体" w:hAnsi="宋体" w:eastAsia="宋体" w:cs="宋体"/>
                <w:kern w:val="2"/>
                <w:sz w:val="20"/>
                <w:szCs w:val="20"/>
                <w:highlight w:val="none"/>
              </w:rPr>
            </w:pPr>
            <w:r>
              <w:rPr>
                <w:rFonts w:hint="eastAsia" w:ascii="宋体" w:hAnsi="宋体" w:eastAsia="宋体" w:cs="宋体"/>
                <w:kern w:val="2"/>
                <w:highlight w:val="none"/>
              </w:rPr>
              <w:t>100805T</w:t>
            </w:r>
          </w:p>
        </w:tc>
        <w:tc>
          <w:tcPr>
            <w:tcW w:w="1965" w:type="dxa"/>
            <w:vAlign w:val="center"/>
          </w:tcPr>
          <w:p w14:paraId="67D39937">
            <w:pPr>
              <w:jc w:val="center"/>
              <w:rPr>
                <w:rFonts w:ascii="宋体" w:hAnsi="宋体" w:eastAsia="宋体" w:cs="宋体"/>
                <w:kern w:val="2"/>
                <w:sz w:val="20"/>
                <w:szCs w:val="20"/>
                <w:highlight w:val="none"/>
              </w:rPr>
            </w:pPr>
            <w:r>
              <w:rPr>
                <w:rFonts w:hint="eastAsia" w:ascii="宋体" w:hAnsi="宋体" w:eastAsia="宋体" w:cs="宋体"/>
                <w:kern w:val="2"/>
                <w:highlight w:val="none"/>
              </w:rPr>
              <w:t>中药制药</w:t>
            </w:r>
          </w:p>
        </w:tc>
        <w:tc>
          <w:tcPr>
            <w:tcW w:w="690" w:type="dxa"/>
            <w:vAlign w:val="center"/>
          </w:tcPr>
          <w:p w14:paraId="263F69B7">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16ED05DE">
            <w:pPr>
              <w:jc w:val="center"/>
              <w:rPr>
                <w:rFonts w:ascii="宋体" w:hAnsi="宋体" w:eastAsia="宋体" w:cs="宋体"/>
                <w:kern w:val="2"/>
                <w:sz w:val="20"/>
                <w:szCs w:val="20"/>
                <w:highlight w:val="none"/>
              </w:rPr>
            </w:pPr>
          </w:p>
        </w:tc>
        <w:tc>
          <w:tcPr>
            <w:tcW w:w="885" w:type="dxa"/>
            <w:vMerge w:val="continue"/>
            <w:vAlign w:val="center"/>
          </w:tcPr>
          <w:p w14:paraId="7DFC8EE7">
            <w:pPr>
              <w:jc w:val="center"/>
              <w:rPr>
                <w:rFonts w:ascii="宋体" w:hAnsi="宋体" w:eastAsia="宋体" w:cs="宋体"/>
                <w:kern w:val="2"/>
                <w:sz w:val="20"/>
                <w:szCs w:val="20"/>
                <w:highlight w:val="none"/>
              </w:rPr>
            </w:pPr>
          </w:p>
        </w:tc>
        <w:tc>
          <w:tcPr>
            <w:tcW w:w="616" w:type="dxa"/>
            <w:vMerge w:val="continue"/>
            <w:vAlign w:val="center"/>
          </w:tcPr>
          <w:p w14:paraId="16EF663D">
            <w:pPr>
              <w:jc w:val="center"/>
              <w:rPr>
                <w:rFonts w:ascii="宋体" w:hAnsi="宋体" w:eastAsia="宋体" w:cs="宋体"/>
                <w:kern w:val="2"/>
                <w:sz w:val="20"/>
                <w:szCs w:val="20"/>
                <w:highlight w:val="none"/>
              </w:rPr>
            </w:pPr>
          </w:p>
        </w:tc>
        <w:tc>
          <w:tcPr>
            <w:tcW w:w="2452" w:type="dxa"/>
            <w:vAlign w:val="center"/>
          </w:tcPr>
          <w:p w14:paraId="1BA198F4">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6441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449" w:type="dxa"/>
            <w:vAlign w:val="center"/>
          </w:tcPr>
          <w:p w14:paraId="4E1C14BD">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14</w:t>
            </w:r>
          </w:p>
        </w:tc>
        <w:tc>
          <w:tcPr>
            <w:tcW w:w="1028" w:type="dxa"/>
            <w:vAlign w:val="center"/>
          </w:tcPr>
          <w:p w14:paraId="147A7FC2">
            <w:pPr>
              <w:jc w:val="center"/>
              <w:rPr>
                <w:rFonts w:ascii="宋体" w:hAnsi="宋体" w:eastAsia="宋体" w:cs="宋体"/>
                <w:kern w:val="2"/>
                <w:sz w:val="20"/>
                <w:szCs w:val="20"/>
                <w:highlight w:val="none"/>
              </w:rPr>
            </w:pPr>
            <w:r>
              <w:rPr>
                <w:rFonts w:hint="eastAsia" w:ascii="宋体" w:hAnsi="宋体" w:eastAsia="宋体" w:cs="宋体"/>
                <w:kern w:val="2"/>
                <w:highlight w:val="none"/>
              </w:rPr>
              <w:t>101001</w:t>
            </w:r>
          </w:p>
        </w:tc>
        <w:tc>
          <w:tcPr>
            <w:tcW w:w="1965" w:type="dxa"/>
            <w:vAlign w:val="center"/>
          </w:tcPr>
          <w:p w14:paraId="0F752304">
            <w:pPr>
              <w:jc w:val="center"/>
              <w:rPr>
                <w:rFonts w:ascii="宋体" w:hAnsi="宋体" w:eastAsia="宋体" w:cs="宋体"/>
                <w:kern w:val="2"/>
                <w:sz w:val="20"/>
                <w:szCs w:val="20"/>
                <w:highlight w:val="none"/>
              </w:rPr>
            </w:pPr>
            <w:r>
              <w:rPr>
                <w:rFonts w:hint="eastAsia" w:ascii="宋体" w:hAnsi="宋体" w:eastAsia="宋体" w:cs="宋体"/>
                <w:kern w:val="2"/>
                <w:highlight w:val="none"/>
              </w:rPr>
              <w:t>医学检验技术</w:t>
            </w:r>
          </w:p>
        </w:tc>
        <w:tc>
          <w:tcPr>
            <w:tcW w:w="690" w:type="dxa"/>
            <w:vAlign w:val="center"/>
          </w:tcPr>
          <w:p w14:paraId="1E500AB9">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428064B3">
            <w:pPr>
              <w:jc w:val="center"/>
              <w:rPr>
                <w:rFonts w:ascii="宋体" w:hAnsi="宋体" w:eastAsia="宋体" w:cs="宋体"/>
                <w:kern w:val="2"/>
                <w:sz w:val="20"/>
                <w:szCs w:val="20"/>
                <w:highlight w:val="none"/>
              </w:rPr>
            </w:pPr>
          </w:p>
        </w:tc>
        <w:tc>
          <w:tcPr>
            <w:tcW w:w="885" w:type="dxa"/>
            <w:vMerge w:val="continue"/>
            <w:vAlign w:val="center"/>
          </w:tcPr>
          <w:p w14:paraId="13B1B423">
            <w:pPr>
              <w:jc w:val="center"/>
              <w:rPr>
                <w:rFonts w:ascii="宋体" w:hAnsi="宋体" w:eastAsia="宋体" w:cs="宋体"/>
                <w:kern w:val="2"/>
                <w:sz w:val="20"/>
                <w:szCs w:val="20"/>
                <w:highlight w:val="none"/>
              </w:rPr>
            </w:pPr>
          </w:p>
        </w:tc>
        <w:tc>
          <w:tcPr>
            <w:tcW w:w="616" w:type="dxa"/>
            <w:vMerge w:val="continue"/>
            <w:vAlign w:val="center"/>
          </w:tcPr>
          <w:p w14:paraId="3C45A955">
            <w:pPr>
              <w:jc w:val="center"/>
              <w:rPr>
                <w:rFonts w:ascii="宋体" w:hAnsi="宋体" w:eastAsia="宋体" w:cs="宋体"/>
                <w:kern w:val="2"/>
                <w:sz w:val="20"/>
                <w:szCs w:val="20"/>
                <w:highlight w:val="none"/>
              </w:rPr>
            </w:pPr>
          </w:p>
        </w:tc>
        <w:tc>
          <w:tcPr>
            <w:tcW w:w="2452" w:type="dxa"/>
            <w:vAlign w:val="center"/>
          </w:tcPr>
          <w:p w14:paraId="2B07C0AE">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755E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37A99085">
            <w:pPr>
              <w:jc w:val="center"/>
              <w:rPr>
                <w:rFonts w:ascii="宋体" w:hAnsi="宋体" w:eastAsia="宋体" w:cs="宋体"/>
                <w:kern w:val="2"/>
                <w:sz w:val="20"/>
                <w:szCs w:val="20"/>
                <w:highlight w:val="none"/>
              </w:rPr>
            </w:pPr>
            <w:r>
              <w:rPr>
                <w:rFonts w:hint="eastAsia" w:ascii="宋体" w:hAnsi="宋体" w:eastAsia="宋体" w:cs="宋体"/>
                <w:kern w:val="2"/>
                <w:highlight w:val="none"/>
              </w:rPr>
              <w:t>1</w:t>
            </w:r>
            <w:r>
              <w:rPr>
                <w:rFonts w:hint="eastAsia" w:ascii="宋体" w:hAnsi="宋体" w:eastAsia="宋体" w:cs="宋体"/>
                <w:kern w:val="2"/>
                <w:highlight w:val="none"/>
                <w:lang w:eastAsia="zh-CN"/>
              </w:rPr>
              <w:t>5</w:t>
            </w:r>
          </w:p>
        </w:tc>
        <w:tc>
          <w:tcPr>
            <w:tcW w:w="1028" w:type="dxa"/>
            <w:vAlign w:val="center"/>
          </w:tcPr>
          <w:p w14:paraId="1295DEC2">
            <w:pPr>
              <w:jc w:val="center"/>
              <w:rPr>
                <w:rFonts w:ascii="宋体" w:hAnsi="宋体" w:eastAsia="宋体" w:cs="宋体"/>
                <w:kern w:val="2"/>
                <w:sz w:val="20"/>
                <w:szCs w:val="20"/>
                <w:highlight w:val="none"/>
              </w:rPr>
            </w:pPr>
            <w:r>
              <w:rPr>
                <w:rFonts w:hint="eastAsia" w:ascii="宋体" w:hAnsi="宋体" w:eastAsia="宋体" w:cs="宋体"/>
                <w:kern w:val="2"/>
                <w:highlight w:val="none"/>
              </w:rPr>
              <w:t>101005</w:t>
            </w:r>
          </w:p>
        </w:tc>
        <w:tc>
          <w:tcPr>
            <w:tcW w:w="1965" w:type="dxa"/>
            <w:vAlign w:val="center"/>
          </w:tcPr>
          <w:p w14:paraId="581D8FE5">
            <w:pPr>
              <w:jc w:val="center"/>
              <w:rPr>
                <w:rFonts w:ascii="宋体" w:hAnsi="宋体" w:eastAsia="宋体" w:cs="宋体"/>
                <w:kern w:val="2"/>
                <w:sz w:val="20"/>
                <w:szCs w:val="20"/>
                <w:highlight w:val="none"/>
              </w:rPr>
            </w:pPr>
            <w:r>
              <w:rPr>
                <w:rFonts w:hint="eastAsia" w:ascii="宋体" w:hAnsi="宋体" w:eastAsia="宋体" w:cs="宋体"/>
                <w:kern w:val="2"/>
                <w:highlight w:val="none"/>
              </w:rPr>
              <w:t>康复治疗学</w:t>
            </w:r>
          </w:p>
        </w:tc>
        <w:tc>
          <w:tcPr>
            <w:tcW w:w="690" w:type="dxa"/>
            <w:vAlign w:val="center"/>
          </w:tcPr>
          <w:p w14:paraId="12B96B5C">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2B138BAC">
            <w:pPr>
              <w:jc w:val="center"/>
              <w:rPr>
                <w:rFonts w:ascii="宋体" w:hAnsi="宋体" w:eastAsia="宋体" w:cs="宋体"/>
                <w:kern w:val="2"/>
                <w:sz w:val="20"/>
                <w:szCs w:val="20"/>
                <w:highlight w:val="none"/>
              </w:rPr>
            </w:pPr>
          </w:p>
        </w:tc>
        <w:tc>
          <w:tcPr>
            <w:tcW w:w="885" w:type="dxa"/>
            <w:vMerge w:val="continue"/>
            <w:vAlign w:val="center"/>
          </w:tcPr>
          <w:p w14:paraId="44D8948B">
            <w:pPr>
              <w:jc w:val="center"/>
              <w:rPr>
                <w:rFonts w:ascii="宋体" w:hAnsi="宋体" w:eastAsia="宋体" w:cs="宋体"/>
                <w:kern w:val="2"/>
                <w:sz w:val="20"/>
                <w:szCs w:val="20"/>
                <w:highlight w:val="none"/>
              </w:rPr>
            </w:pPr>
          </w:p>
        </w:tc>
        <w:tc>
          <w:tcPr>
            <w:tcW w:w="616" w:type="dxa"/>
            <w:vMerge w:val="continue"/>
            <w:vAlign w:val="center"/>
          </w:tcPr>
          <w:p w14:paraId="75FF45DD">
            <w:pPr>
              <w:jc w:val="center"/>
              <w:rPr>
                <w:rFonts w:ascii="宋体" w:hAnsi="宋体" w:eastAsia="宋体" w:cs="宋体"/>
                <w:kern w:val="2"/>
                <w:sz w:val="20"/>
                <w:szCs w:val="20"/>
                <w:highlight w:val="none"/>
              </w:rPr>
            </w:pPr>
          </w:p>
        </w:tc>
        <w:tc>
          <w:tcPr>
            <w:tcW w:w="2452" w:type="dxa"/>
            <w:vAlign w:val="center"/>
          </w:tcPr>
          <w:p w14:paraId="235853AD">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17A24583">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校级一流本科专业</w:t>
            </w:r>
          </w:p>
        </w:tc>
      </w:tr>
      <w:tr w14:paraId="6BD08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1FE0687F">
            <w:pPr>
              <w:jc w:val="center"/>
              <w:rPr>
                <w:rFonts w:ascii="宋体" w:hAnsi="宋体" w:eastAsia="宋体" w:cs="宋体"/>
                <w:kern w:val="2"/>
                <w:sz w:val="20"/>
                <w:szCs w:val="20"/>
                <w:highlight w:val="none"/>
              </w:rPr>
            </w:pPr>
            <w:r>
              <w:rPr>
                <w:rFonts w:hint="eastAsia" w:ascii="宋体" w:hAnsi="宋体" w:eastAsia="宋体" w:cs="宋体"/>
                <w:kern w:val="2"/>
                <w:highlight w:val="none"/>
              </w:rPr>
              <w:t>1</w:t>
            </w:r>
            <w:r>
              <w:rPr>
                <w:rFonts w:hint="eastAsia" w:ascii="宋体" w:hAnsi="宋体" w:eastAsia="宋体" w:cs="宋体"/>
                <w:kern w:val="2"/>
                <w:highlight w:val="none"/>
                <w:lang w:eastAsia="zh-CN"/>
              </w:rPr>
              <w:t>6</w:t>
            </w:r>
          </w:p>
        </w:tc>
        <w:tc>
          <w:tcPr>
            <w:tcW w:w="1028" w:type="dxa"/>
            <w:vAlign w:val="center"/>
          </w:tcPr>
          <w:p w14:paraId="490D5882">
            <w:pPr>
              <w:jc w:val="center"/>
              <w:rPr>
                <w:rFonts w:hint="eastAsia" w:ascii="宋体" w:hAnsi="宋体" w:eastAsia="宋体" w:cs="宋体"/>
                <w:kern w:val="2"/>
                <w:sz w:val="20"/>
                <w:szCs w:val="20"/>
                <w:highlight w:val="none"/>
                <w:lang w:val="en-US" w:eastAsia="zh-CN"/>
              </w:rPr>
            </w:pPr>
            <w:r>
              <w:rPr>
                <w:rFonts w:hint="eastAsia" w:ascii="宋体" w:hAnsi="宋体" w:eastAsia="宋体" w:cs="宋体"/>
                <w:kern w:val="2"/>
                <w:highlight w:val="none"/>
              </w:rPr>
              <w:t>101101</w:t>
            </w:r>
            <w:r>
              <w:rPr>
                <w:rFonts w:hint="eastAsia" w:ascii="宋体" w:hAnsi="宋体" w:eastAsia="宋体" w:cs="宋体"/>
                <w:kern w:val="2"/>
                <w:highlight w:val="none"/>
                <w:lang w:val="en-US" w:eastAsia="zh-CN"/>
              </w:rPr>
              <w:t>T</w:t>
            </w:r>
          </w:p>
        </w:tc>
        <w:tc>
          <w:tcPr>
            <w:tcW w:w="1965" w:type="dxa"/>
            <w:vAlign w:val="center"/>
          </w:tcPr>
          <w:p w14:paraId="7B1A1B56">
            <w:pPr>
              <w:jc w:val="center"/>
              <w:rPr>
                <w:rFonts w:ascii="宋体" w:hAnsi="宋体" w:eastAsia="宋体" w:cs="宋体"/>
                <w:kern w:val="2"/>
                <w:sz w:val="20"/>
                <w:szCs w:val="20"/>
                <w:highlight w:val="none"/>
              </w:rPr>
            </w:pPr>
            <w:r>
              <w:rPr>
                <w:rFonts w:hint="eastAsia" w:ascii="宋体" w:hAnsi="宋体" w:eastAsia="宋体" w:cs="宋体"/>
                <w:kern w:val="2"/>
                <w:highlight w:val="none"/>
              </w:rPr>
              <w:t>护理学</w:t>
            </w:r>
          </w:p>
        </w:tc>
        <w:tc>
          <w:tcPr>
            <w:tcW w:w="690" w:type="dxa"/>
            <w:vAlign w:val="center"/>
          </w:tcPr>
          <w:p w14:paraId="74432BA8">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1652C322">
            <w:pPr>
              <w:jc w:val="center"/>
              <w:rPr>
                <w:rFonts w:ascii="宋体" w:hAnsi="宋体" w:eastAsia="宋体" w:cs="宋体"/>
                <w:kern w:val="2"/>
                <w:sz w:val="20"/>
                <w:szCs w:val="20"/>
                <w:highlight w:val="none"/>
              </w:rPr>
            </w:pPr>
          </w:p>
        </w:tc>
        <w:tc>
          <w:tcPr>
            <w:tcW w:w="885" w:type="dxa"/>
            <w:vMerge w:val="continue"/>
            <w:vAlign w:val="center"/>
          </w:tcPr>
          <w:p w14:paraId="29F84601">
            <w:pPr>
              <w:jc w:val="center"/>
              <w:rPr>
                <w:rFonts w:ascii="宋体" w:hAnsi="宋体" w:eastAsia="宋体" w:cs="宋体"/>
                <w:kern w:val="2"/>
                <w:sz w:val="20"/>
                <w:szCs w:val="20"/>
                <w:highlight w:val="none"/>
              </w:rPr>
            </w:pPr>
          </w:p>
        </w:tc>
        <w:tc>
          <w:tcPr>
            <w:tcW w:w="616" w:type="dxa"/>
            <w:vMerge w:val="continue"/>
            <w:vAlign w:val="center"/>
          </w:tcPr>
          <w:p w14:paraId="005B3A48">
            <w:pPr>
              <w:jc w:val="center"/>
              <w:rPr>
                <w:rFonts w:ascii="宋体" w:hAnsi="宋体" w:eastAsia="宋体" w:cs="宋体"/>
                <w:kern w:val="2"/>
                <w:sz w:val="20"/>
                <w:szCs w:val="20"/>
                <w:highlight w:val="none"/>
              </w:rPr>
            </w:pPr>
          </w:p>
        </w:tc>
        <w:tc>
          <w:tcPr>
            <w:tcW w:w="2452" w:type="dxa"/>
            <w:vAlign w:val="center"/>
          </w:tcPr>
          <w:p w14:paraId="714A015A">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23E9F183">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省级一流本科专业建设点</w:t>
            </w:r>
          </w:p>
        </w:tc>
      </w:tr>
      <w:tr w14:paraId="2042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48FA4E78">
            <w:pPr>
              <w:jc w:val="center"/>
              <w:rPr>
                <w:rFonts w:ascii="宋体" w:hAnsi="宋体" w:eastAsia="宋体" w:cs="宋体"/>
                <w:kern w:val="2"/>
                <w:sz w:val="20"/>
                <w:szCs w:val="20"/>
                <w:highlight w:val="none"/>
              </w:rPr>
            </w:pPr>
            <w:r>
              <w:rPr>
                <w:rFonts w:hint="eastAsia" w:ascii="宋体" w:hAnsi="宋体" w:eastAsia="宋体" w:cs="宋体"/>
                <w:kern w:val="2"/>
                <w:highlight w:val="none"/>
              </w:rPr>
              <w:t>17</w:t>
            </w:r>
          </w:p>
        </w:tc>
        <w:tc>
          <w:tcPr>
            <w:tcW w:w="1028" w:type="dxa"/>
            <w:vAlign w:val="center"/>
          </w:tcPr>
          <w:p w14:paraId="7E0DB3F8">
            <w:pPr>
              <w:jc w:val="center"/>
              <w:rPr>
                <w:rFonts w:ascii="宋体" w:hAnsi="宋体" w:eastAsia="宋体" w:cs="宋体"/>
                <w:kern w:val="2"/>
                <w:sz w:val="20"/>
                <w:szCs w:val="20"/>
                <w:highlight w:val="none"/>
              </w:rPr>
            </w:pPr>
            <w:r>
              <w:rPr>
                <w:rFonts w:hint="eastAsia" w:ascii="宋体" w:hAnsi="宋体" w:eastAsia="宋体" w:cs="宋体"/>
                <w:kern w:val="2"/>
                <w:highlight w:val="none"/>
              </w:rPr>
              <w:t>101102T</w:t>
            </w:r>
          </w:p>
        </w:tc>
        <w:tc>
          <w:tcPr>
            <w:tcW w:w="1965" w:type="dxa"/>
            <w:vAlign w:val="center"/>
          </w:tcPr>
          <w:p w14:paraId="6DB4C57D">
            <w:pPr>
              <w:jc w:val="center"/>
              <w:rPr>
                <w:rFonts w:ascii="宋体" w:hAnsi="宋体" w:eastAsia="宋体" w:cs="宋体"/>
                <w:kern w:val="2"/>
                <w:sz w:val="20"/>
                <w:szCs w:val="20"/>
                <w:highlight w:val="none"/>
              </w:rPr>
            </w:pPr>
            <w:r>
              <w:rPr>
                <w:rFonts w:hint="eastAsia" w:ascii="宋体" w:hAnsi="宋体" w:eastAsia="宋体" w:cs="宋体"/>
                <w:kern w:val="2"/>
                <w:highlight w:val="none"/>
              </w:rPr>
              <w:t>助产学</w:t>
            </w:r>
          </w:p>
        </w:tc>
        <w:tc>
          <w:tcPr>
            <w:tcW w:w="690" w:type="dxa"/>
            <w:vAlign w:val="center"/>
          </w:tcPr>
          <w:p w14:paraId="0A8DD6C2">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09D36042">
            <w:pPr>
              <w:jc w:val="center"/>
              <w:rPr>
                <w:rFonts w:ascii="宋体" w:hAnsi="宋体" w:eastAsia="宋体" w:cs="宋体"/>
                <w:kern w:val="2"/>
                <w:sz w:val="20"/>
                <w:szCs w:val="20"/>
                <w:highlight w:val="none"/>
              </w:rPr>
            </w:pPr>
          </w:p>
        </w:tc>
        <w:tc>
          <w:tcPr>
            <w:tcW w:w="885" w:type="dxa"/>
            <w:vMerge w:val="continue"/>
            <w:vAlign w:val="center"/>
          </w:tcPr>
          <w:p w14:paraId="708D4D91">
            <w:pPr>
              <w:jc w:val="center"/>
              <w:rPr>
                <w:rFonts w:ascii="宋体" w:hAnsi="宋体" w:eastAsia="宋体" w:cs="宋体"/>
                <w:kern w:val="2"/>
                <w:sz w:val="20"/>
                <w:szCs w:val="20"/>
                <w:highlight w:val="none"/>
              </w:rPr>
            </w:pPr>
          </w:p>
        </w:tc>
        <w:tc>
          <w:tcPr>
            <w:tcW w:w="616" w:type="dxa"/>
            <w:vMerge w:val="continue"/>
            <w:vAlign w:val="center"/>
          </w:tcPr>
          <w:p w14:paraId="11B9EE93">
            <w:pPr>
              <w:jc w:val="center"/>
              <w:rPr>
                <w:rFonts w:ascii="宋体" w:hAnsi="宋体" w:eastAsia="宋体" w:cs="宋体"/>
                <w:kern w:val="2"/>
                <w:sz w:val="20"/>
                <w:szCs w:val="20"/>
                <w:highlight w:val="none"/>
              </w:rPr>
            </w:pPr>
          </w:p>
        </w:tc>
        <w:tc>
          <w:tcPr>
            <w:tcW w:w="2452" w:type="dxa"/>
            <w:vAlign w:val="center"/>
          </w:tcPr>
          <w:p w14:paraId="61AA375F">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48CE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exact"/>
          <w:jc w:val="center"/>
        </w:trPr>
        <w:tc>
          <w:tcPr>
            <w:tcW w:w="449" w:type="dxa"/>
            <w:vAlign w:val="center"/>
          </w:tcPr>
          <w:p w14:paraId="32991873">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18</w:t>
            </w:r>
          </w:p>
        </w:tc>
        <w:tc>
          <w:tcPr>
            <w:tcW w:w="1028" w:type="dxa"/>
            <w:vAlign w:val="center"/>
          </w:tcPr>
          <w:p w14:paraId="43A54A75">
            <w:pPr>
              <w:jc w:val="center"/>
              <w:rPr>
                <w:rFonts w:ascii="宋体" w:hAnsi="宋体" w:eastAsia="宋体" w:cs="宋体"/>
                <w:kern w:val="2"/>
                <w:sz w:val="20"/>
                <w:szCs w:val="20"/>
                <w:highlight w:val="none"/>
              </w:rPr>
            </w:pPr>
            <w:r>
              <w:rPr>
                <w:rFonts w:hint="eastAsia" w:ascii="宋体" w:hAnsi="宋体" w:eastAsia="宋体" w:cs="宋体"/>
                <w:kern w:val="2"/>
                <w:highlight w:val="none"/>
              </w:rPr>
              <w:t>120202</w:t>
            </w:r>
          </w:p>
        </w:tc>
        <w:tc>
          <w:tcPr>
            <w:tcW w:w="1965" w:type="dxa"/>
            <w:vAlign w:val="center"/>
          </w:tcPr>
          <w:p w14:paraId="7BDF6C24">
            <w:pPr>
              <w:jc w:val="center"/>
              <w:rPr>
                <w:rFonts w:ascii="宋体" w:hAnsi="宋体" w:eastAsia="宋体" w:cs="宋体"/>
                <w:kern w:val="2"/>
                <w:sz w:val="20"/>
                <w:szCs w:val="20"/>
                <w:highlight w:val="none"/>
              </w:rPr>
            </w:pPr>
            <w:r>
              <w:rPr>
                <w:rFonts w:hint="eastAsia" w:ascii="宋体" w:hAnsi="宋体" w:eastAsia="宋体" w:cs="宋体"/>
                <w:kern w:val="2"/>
                <w:highlight w:val="none"/>
              </w:rPr>
              <w:t>市场营销</w:t>
            </w:r>
          </w:p>
        </w:tc>
        <w:tc>
          <w:tcPr>
            <w:tcW w:w="690" w:type="dxa"/>
            <w:vAlign w:val="center"/>
          </w:tcPr>
          <w:p w14:paraId="103FF1F8">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restart"/>
            <w:vAlign w:val="center"/>
          </w:tcPr>
          <w:p w14:paraId="664A3072">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管理学</w:t>
            </w:r>
          </w:p>
        </w:tc>
        <w:tc>
          <w:tcPr>
            <w:tcW w:w="885" w:type="dxa"/>
            <w:vMerge w:val="restart"/>
            <w:vAlign w:val="center"/>
          </w:tcPr>
          <w:p w14:paraId="6FEA2820">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3</w:t>
            </w:r>
          </w:p>
        </w:tc>
        <w:tc>
          <w:tcPr>
            <w:tcW w:w="616" w:type="dxa"/>
            <w:vMerge w:val="restart"/>
            <w:vAlign w:val="center"/>
          </w:tcPr>
          <w:p w14:paraId="7F3A6014">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12%</w:t>
            </w:r>
          </w:p>
        </w:tc>
        <w:tc>
          <w:tcPr>
            <w:tcW w:w="2452" w:type="dxa"/>
            <w:vAlign w:val="center"/>
          </w:tcPr>
          <w:p w14:paraId="4220CEB0">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50FC2BC5">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省级一流本科专业建设点</w:t>
            </w:r>
          </w:p>
        </w:tc>
      </w:tr>
      <w:tr w14:paraId="5EFA0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449" w:type="dxa"/>
            <w:vAlign w:val="center"/>
          </w:tcPr>
          <w:p w14:paraId="20CF9081">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19</w:t>
            </w:r>
          </w:p>
        </w:tc>
        <w:tc>
          <w:tcPr>
            <w:tcW w:w="1028" w:type="dxa"/>
            <w:vAlign w:val="center"/>
          </w:tcPr>
          <w:p w14:paraId="5530555D">
            <w:pPr>
              <w:jc w:val="center"/>
              <w:rPr>
                <w:rFonts w:ascii="宋体" w:hAnsi="宋体" w:eastAsia="宋体" w:cs="宋体"/>
                <w:kern w:val="2"/>
                <w:sz w:val="20"/>
                <w:szCs w:val="20"/>
                <w:highlight w:val="none"/>
              </w:rPr>
            </w:pPr>
            <w:r>
              <w:rPr>
                <w:rFonts w:hint="eastAsia" w:ascii="宋体" w:hAnsi="宋体" w:eastAsia="宋体" w:cs="宋体"/>
                <w:kern w:val="2"/>
                <w:highlight w:val="none"/>
              </w:rPr>
              <w:t>120204</w:t>
            </w:r>
          </w:p>
        </w:tc>
        <w:tc>
          <w:tcPr>
            <w:tcW w:w="1965" w:type="dxa"/>
            <w:vAlign w:val="center"/>
          </w:tcPr>
          <w:p w14:paraId="3F5140A8">
            <w:pPr>
              <w:jc w:val="center"/>
              <w:rPr>
                <w:rFonts w:ascii="宋体" w:hAnsi="宋体" w:eastAsia="宋体" w:cs="宋体"/>
                <w:kern w:val="2"/>
                <w:sz w:val="20"/>
                <w:szCs w:val="20"/>
                <w:highlight w:val="none"/>
              </w:rPr>
            </w:pPr>
            <w:r>
              <w:rPr>
                <w:rFonts w:hint="eastAsia" w:ascii="宋体" w:hAnsi="宋体" w:eastAsia="宋体" w:cs="宋体"/>
                <w:kern w:val="2"/>
                <w:highlight w:val="none"/>
              </w:rPr>
              <w:t>财务管理</w:t>
            </w:r>
          </w:p>
        </w:tc>
        <w:tc>
          <w:tcPr>
            <w:tcW w:w="690" w:type="dxa"/>
            <w:vAlign w:val="center"/>
          </w:tcPr>
          <w:p w14:paraId="7D96143E">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23A9DF97">
            <w:pPr>
              <w:jc w:val="center"/>
              <w:rPr>
                <w:rFonts w:ascii="宋体" w:hAnsi="宋体" w:eastAsia="宋体" w:cs="宋体"/>
                <w:kern w:val="2"/>
                <w:sz w:val="20"/>
                <w:szCs w:val="20"/>
                <w:highlight w:val="none"/>
              </w:rPr>
            </w:pPr>
          </w:p>
        </w:tc>
        <w:tc>
          <w:tcPr>
            <w:tcW w:w="885" w:type="dxa"/>
            <w:vMerge w:val="continue"/>
            <w:vAlign w:val="center"/>
          </w:tcPr>
          <w:p w14:paraId="7CAC6477">
            <w:pPr>
              <w:jc w:val="center"/>
              <w:rPr>
                <w:rFonts w:ascii="宋体" w:hAnsi="宋体" w:eastAsia="宋体" w:cs="宋体"/>
                <w:kern w:val="2"/>
                <w:sz w:val="20"/>
                <w:szCs w:val="20"/>
                <w:highlight w:val="none"/>
              </w:rPr>
            </w:pPr>
          </w:p>
        </w:tc>
        <w:tc>
          <w:tcPr>
            <w:tcW w:w="616" w:type="dxa"/>
            <w:vMerge w:val="continue"/>
            <w:vAlign w:val="center"/>
          </w:tcPr>
          <w:p w14:paraId="0E79865D">
            <w:pPr>
              <w:jc w:val="center"/>
              <w:rPr>
                <w:rFonts w:ascii="宋体" w:hAnsi="宋体" w:eastAsia="宋体" w:cs="宋体"/>
                <w:kern w:val="2"/>
                <w:sz w:val="20"/>
                <w:szCs w:val="20"/>
                <w:highlight w:val="none"/>
              </w:rPr>
            </w:pPr>
          </w:p>
        </w:tc>
        <w:tc>
          <w:tcPr>
            <w:tcW w:w="2452" w:type="dxa"/>
            <w:vAlign w:val="center"/>
          </w:tcPr>
          <w:p w14:paraId="5F4E44BA">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18CDD1A0">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校级一流本科专业</w:t>
            </w:r>
          </w:p>
        </w:tc>
      </w:tr>
      <w:tr w14:paraId="0164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exact"/>
          <w:jc w:val="center"/>
        </w:trPr>
        <w:tc>
          <w:tcPr>
            <w:tcW w:w="449" w:type="dxa"/>
            <w:vAlign w:val="center"/>
          </w:tcPr>
          <w:p w14:paraId="7706710F">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20</w:t>
            </w:r>
          </w:p>
        </w:tc>
        <w:tc>
          <w:tcPr>
            <w:tcW w:w="1028" w:type="dxa"/>
            <w:vAlign w:val="center"/>
          </w:tcPr>
          <w:p w14:paraId="566F10B7">
            <w:pPr>
              <w:jc w:val="center"/>
              <w:rPr>
                <w:rFonts w:ascii="宋体" w:hAnsi="宋体" w:eastAsia="宋体" w:cs="宋体"/>
                <w:kern w:val="2"/>
                <w:sz w:val="20"/>
                <w:szCs w:val="20"/>
                <w:highlight w:val="none"/>
              </w:rPr>
            </w:pPr>
            <w:r>
              <w:rPr>
                <w:rFonts w:hint="eastAsia" w:ascii="宋体" w:hAnsi="宋体" w:eastAsia="宋体" w:cs="宋体"/>
                <w:kern w:val="2"/>
                <w:highlight w:val="none"/>
              </w:rPr>
              <w:t>120601</w:t>
            </w:r>
          </w:p>
        </w:tc>
        <w:tc>
          <w:tcPr>
            <w:tcW w:w="1965" w:type="dxa"/>
            <w:vAlign w:val="center"/>
          </w:tcPr>
          <w:p w14:paraId="3C8B390A">
            <w:pPr>
              <w:jc w:val="center"/>
              <w:rPr>
                <w:rFonts w:ascii="宋体" w:hAnsi="宋体" w:eastAsia="宋体" w:cs="宋体"/>
                <w:kern w:val="2"/>
                <w:sz w:val="20"/>
                <w:szCs w:val="20"/>
                <w:highlight w:val="none"/>
              </w:rPr>
            </w:pPr>
            <w:r>
              <w:rPr>
                <w:rFonts w:hint="eastAsia" w:ascii="宋体" w:hAnsi="宋体" w:eastAsia="宋体" w:cs="宋体"/>
                <w:kern w:val="2"/>
                <w:highlight w:val="none"/>
              </w:rPr>
              <w:t>物流管理</w:t>
            </w:r>
          </w:p>
        </w:tc>
        <w:tc>
          <w:tcPr>
            <w:tcW w:w="690" w:type="dxa"/>
            <w:vAlign w:val="center"/>
          </w:tcPr>
          <w:p w14:paraId="4A4B61A4">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735AE514">
            <w:pPr>
              <w:jc w:val="center"/>
              <w:rPr>
                <w:rFonts w:ascii="宋体" w:hAnsi="宋体" w:eastAsia="宋体" w:cs="宋体"/>
                <w:kern w:val="2"/>
                <w:sz w:val="20"/>
                <w:szCs w:val="20"/>
                <w:highlight w:val="none"/>
              </w:rPr>
            </w:pPr>
          </w:p>
        </w:tc>
        <w:tc>
          <w:tcPr>
            <w:tcW w:w="885" w:type="dxa"/>
            <w:vMerge w:val="continue"/>
            <w:vAlign w:val="center"/>
          </w:tcPr>
          <w:p w14:paraId="2330AB83">
            <w:pPr>
              <w:jc w:val="center"/>
              <w:rPr>
                <w:rFonts w:ascii="宋体" w:hAnsi="宋体" w:eastAsia="宋体" w:cs="宋体"/>
                <w:kern w:val="2"/>
                <w:sz w:val="20"/>
                <w:szCs w:val="20"/>
                <w:highlight w:val="none"/>
              </w:rPr>
            </w:pPr>
          </w:p>
        </w:tc>
        <w:tc>
          <w:tcPr>
            <w:tcW w:w="616" w:type="dxa"/>
            <w:vMerge w:val="continue"/>
            <w:vAlign w:val="center"/>
          </w:tcPr>
          <w:p w14:paraId="5A504197">
            <w:pPr>
              <w:jc w:val="center"/>
              <w:rPr>
                <w:rFonts w:ascii="宋体" w:hAnsi="宋体" w:eastAsia="宋体" w:cs="宋体"/>
                <w:kern w:val="2"/>
                <w:sz w:val="20"/>
                <w:szCs w:val="20"/>
                <w:highlight w:val="none"/>
              </w:rPr>
            </w:pPr>
          </w:p>
        </w:tc>
        <w:tc>
          <w:tcPr>
            <w:tcW w:w="2452" w:type="dxa"/>
            <w:vAlign w:val="center"/>
          </w:tcPr>
          <w:p w14:paraId="0ABB22F2">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2E51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599777E3">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2</w:t>
            </w:r>
            <w:r>
              <w:rPr>
                <w:rFonts w:hint="eastAsia" w:ascii="宋体" w:hAnsi="宋体" w:eastAsia="宋体" w:cs="宋体"/>
                <w:kern w:val="2"/>
                <w:highlight w:val="none"/>
                <w:lang w:eastAsia="zh-CN"/>
              </w:rPr>
              <w:t>1</w:t>
            </w:r>
          </w:p>
        </w:tc>
        <w:tc>
          <w:tcPr>
            <w:tcW w:w="1028" w:type="dxa"/>
            <w:vAlign w:val="center"/>
          </w:tcPr>
          <w:p w14:paraId="3DE74625">
            <w:pPr>
              <w:jc w:val="center"/>
              <w:rPr>
                <w:rFonts w:ascii="宋体" w:hAnsi="宋体" w:eastAsia="宋体" w:cs="宋体"/>
                <w:kern w:val="2"/>
                <w:sz w:val="20"/>
                <w:szCs w:val="20"/>
                <w:highlight w:val="none"/>
              </w:rPr>
            </w:pPr>
            <w:r>
              <w:rPr>
                <w:rFonts w:hint="eastAsia" w:ascii="宋体" w:hAnsi="宋体" w:eastAsia="宋体" w:cs="宋体"/>
                <w:kern w:val="2"/>
                <w:highlight w:val="none"/>
              </w:rPr>
              <w:t>130204</w:t>
            </w:r>
          </w:p>
        </w:tc>
        <w:tc>
          <w:tcPr>
            <w:tcW w:w="1965" w:type="dxa"/>
            <w:vAlign w:val="center"/>
          </w:tcPr>
          <w:p w14:paraId="50004EC5">
            <w:pPr>
              <w:jc w:val="center"/>
              <w:rPr>
                <w:rFonts w:ascii="宋体" w:hAnsi="宋体" w:eastAsia="宋体" w:cs="宋体"/>
                <w:kern w:val="2"/>
                <w:sz w:val="20"/>
                <w:szCs w:val="20"/>
                <w:highlight w:val="none"/>
              </w:rPr>
            </w:pPr>
            <w:r>
              <w:rPr>
                <w:rFonts w:hint="eastAsia" w:ascii="宋体" w:hAnsi="宋体" w:eastAsia="宋体" w:cs="宋体"/>
                <w:kern w:val="2"/>
                <w:highlight w:val="none"/>
              </w:rPr>
              <w:t>舞蹈表演</w:t>
            </w:r>
          </w:p>
        </w:tc>
        <w:tc>
          <w:tcPr>
            <w:tcW w:w="690" w:type="dxa"/>
            <w:vAlign w:val="center"/>
          </w:tcPr>
          <w:p w14:paraId="494F0AD3">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restart"/>
            <w:vAlign w:val="center"/>
          </w:tcPr>
          <w:p w14:paraId="1A9E35FD">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艺术学</w:t>
            </w:r>
          </w:p>
        </w:tc>
        <w:tc>
          <w:tcPr>
            <w:tcW w:w="885" w:type="dxa"/>
            <w:vMerge w:val="restart"/>
            <w:vAlign w:val="center"/>
          </w:tcPr>
          <w:p w14:paraId="608CB4A2">
            <w:pPr>
              <w:jc w:val="center"/>
              <w:rPr>
                <w:rFonts w:ascii="宋体" w:hAnsi="宋体" w:eastAsia="宋体" w:cs="宋体"/>
                <w:kern w:val="2"/>
                <w:sz w:val="20"/>
                <w:szCs w:val="20"/>
                <w:highlight w:val="none"/>
              </w:rPr>
            </w:pPr>
            <w:r>
              <w:rPr>
                <w:rFonts w:hint="eastAsia" w:ascii="宋体" w:hAnsi="宋体" w:eastAsia="宋体" w:cs="宋体"/>
                <w:kern w:val="2"/>
                <w:highlight w:val="none"/>
              </w:rPr>
              <w:t>3</w:t>
            </w:r>
          </w:p>
        </w:tc>
        <w:tc>
          <w:tcPr>
            <w:tcW w:w="616" w:type="dxa"/>
            <w:vMerge w:val="restart"/>
            <w:vAlign w:val="center"/>
          </w:tcPr>
          <w:p w14:paraId="797A78B4">
            <w:pPr>
              <w:jc w:val="center"/>
              <w:rPr>
                <w:rFonts w:ascii="宋体" w:hAnsi="宋体" w:eastAsia="宋体" w:cs="宋体"/>
                <w:kern w:val="2"/>
                <w:sz w:val="20"/>
                <w:szCs w:val="20"/>
                <w:highlight w:val="none"/>
              </w:rPr>
            </w:pPr>
            <w:r>
              <w:rPr>
                <w:rFonts w:hint="eastAsia" w:ascii="宋体" w:hAnsi="宋体" w:eastAsia="宋体" w:cs="宋体"/>
                <w:kern w:val="2"/>
                <w:highlight w:val="none"/>
                <w:lang w:eastAsia="zh-CN"/>
              </w:rPr>
              <w:t>12</w:t>
            </w:r>
            <w:r>
              <w:rPr>
                <w:rFonts w:hint="eastAsia" w:ascii="宋体" w:hAnsi="宋体" w:eastAsia="宋体" w:cs="宋体"/>
                <w:kern w:val="2"/>
                <w:highlight w:val="none"/>
              </w:rPr>
              <w:t>%</w:t>
            </w:r>
          </w:p>
        </w:tc>
        <w:tc>
          <w:tcPr>
            <w:tcW w:w="2452" w:type="dxa"/>
            <w:vAlign w:val="center"/>
          </w:tcPr>
          <w:p w14:paraId="2BDAAED1">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7681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exact"/>
          <w:jc w:val="center"/>
        </w:trPr>
        <w:tc>
          <w:tcPr>
            <w:tcW w:w="449" w:type="dxa"/>
            <w:vAlign w:val="center"/>
          </w:tcPr>
          <w:p w14:paraId="6ACBE98C">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22</w:t>
            </w:r>
          </w:p>
        </w:tc>
        <w:tc>
          <w:tcPr>
            <w:tcW w:w="1028" w:type="dxa"/>
            <w:vAlign w:val="center"/>
          </w:tcPr>
          <w:p w14:paraId="6FF95A53">
            <w:pPr>
              <w:jc w:val="center"/>
              <w:rPr>
                <w:rFonts w:ascii="宋体" w:hAnsi="宋体" w:eastAsia="宋体" w:cs="宋体"/>
                <w:kern w:val="2"/>
                <w:sz w:val="20"/>
                <w:szCs w:val="20"/>
                <w:highlight w:val="none"/>
              </w:rPr>
            </w:pPr>
            <w:r>
              <w:rPr>
                <w:rFonts w:hint="eastAsia" w:ascii="宋体" w:hAnsi="宋体" w:eastAsia="宋体" w:cs="宋体"/>
                <w:kern w:val="2"/>
                <w:highlight w:val="none"/>
              </w:rPr>
              <w:t>130402</w:t>
            </w:r>
          </w:p>
        </w:tc>
        <w:tc>
          <w:tcPr>
            <w:tcW w:w="1965" w:type="dxa"/>
            <w:vAlign w:val="center"/>
          </w:tcPr>
          <w:p w14:paraId="50A75B5B">
            <w:pPr>
              <w:jc w:val="center"/>
              <w:rPr>
                <w:rFonts w:ascii="宋体" w:hAnsi="宋体" w:eastAsia="宋体" w:cs="宋体"/>
                <w:kern w:val="2"/>
                <w:sz w:val="20"/>
                <w:szCs w:val="20"/>
                <w:highlight w:val="none"/>
              </w:rPr>
            </w:pPr>
            <w:r>
              <w:rPr>
                <w:rFonts w:hint="eastAsia" w:ascii="宋体" w:hAnsi="宋体" w:eastAsia="宋体" w:cs="宋体"/>
                <w:kern w:val="2"/>
                <w:highlight w:val="none"/>
              </w:rPr>
              <w:t>绘画</w:t>
            </w:r>
          </w:p>
        </w:tc>
        <w:tc>
          <w:tcPr>
            <w:tcW w:w="690" w:type="dxa"/>
            <w:vAlign w:val="center"/>
          </w:tcPr>
          <w:p w14:paraId="02158C60">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01A1EE17">
            <w:pPr>
              <w:jc w:val="center"/>
              <w:rPr>
                <w:rFonts w:ascii="宋体" w:hAnsi="宋体" w:eastAsia="宋体" w:cs="宋体"/>
                <w:kern w:val="2"/>
                <w:sz w:val="20"/>
                <w:szCs w:val="20"/>
                <w:highlight w:val="none"/>
              </w:rPr>
            </w:pPr>
          </w:p>
        </w:tc>
        <w:tc>
          <w:tcPr>
            <w:tcW w:w="885" w:type="dxa"/>
            <w:vMerge w:val="continue"/>
            <w:vAlign w:val="center"/>
          </w:tcPr>
          <w:p w14:paraId="36CE2B1D">
            <w:pPr>
              <w:jc w:val="center"/>
              <w:rPr>
                <w:rFonts w:ascii="宋体" w:hAnsi="宋体" w:eastAsia="宋体" w:cs="宋体"/>
                <w:kern w:val="2"/>
                <w:sz w:val="20"/>
                <w:szCs w:val="20"/>
                <w:highlight w:val="none"/>
              </w:rPr>
            </w:pPr>
          </w:p>
        </w:tc>
        <w:tc>
          <w:tcPr>
            <w:tcW w:w="616" w:type="dxa"/>
            <w:vMerge w:val="continue"/>
            <w:vAlign w:val="center"/>
          </w:tcPr>
          <w:p w14:paraId="4AF24A3A">
            <w:pPr>
              <w:jc w:val="center"/>
              <w:rPr>
                <w:rFonts w:ascii="宋体" w:hAnsi="宋体" w:eastAsia="宋体" w:cs="宋体"/>
                <w:kern w:val="2"/>
                <w:sz w:val="20"/>
                <w:szCs w:val="20"/>
                <w:highlight w:val="none"/>
              </w:rPr>
            </w:pPr>
          </w:p>
        </w:tc>
        <w:tc>
          <w:tcPr>
            <w:tcW w:w="2452" w:type="dxa"/>
            <w:vAlign w:val="center"/>
          </w:tcPr>
          <w:p w14:paraId="09B43B22">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3A451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06274520">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23</w:t>
            </w:r>
          </w:p>
        </w:tc>
        <w:tc>
          <w:tcPr>
            <w:tcW w:w="1028" w:type="dxa"/>
            <w:vAlign w:val="center"/>
          </w:tcPr>
          <w:p w14:paraId="4B269EA9">
            <w:pPr>
              <w:jc w:val="center"/>
              <w:rPr>
                <w:rFonts w:ascii="宋体" w:hAnsi="宋体" w:eastAsia="宋体" w:cs="宋体"/>
                <w:kern w:val="2"/>
                <w:sz w:val="20"/>
                <w:szCs w:val="20"/>
                <w:highlight w:val="none"/>
              </w:rPr>
            </w:pPr>
            <w:r>
              <w:rPr>
                <w:rFonts w:hint="eastAsia" w:ascii="宋体" w:hAnsi="宋体" w:eastAsia="宋体" w:cs="宋体"/>
                <w:kern w:val="2"/>
                <w:highlight w:val="none"/>
              </w:rPr>
              <w:t>130502</w:t>
            </w:r>
          </w:p>
        </w:tc>
        <w:tc>
          <w:tcPr>
            <w:tcW w:w="1965" w:type="dxa"/>
            <w:vAlign w:val="center"/>
          </w:tcPr>
          <w:p w14:paraId="0A11993C">
            <w:pPr>
              <w:jc w:val="center"/>
              <w:rPr>
                <w:rFonts w:ascii="宋体" w:hAnsi="宋体" w:eastAsia="宋体" w:cs="宋体"/>
                <w:kern w:val="2"/>
                <w:sz w:val="20"/>
                <w:szCs w:val="20"/>
                <w:highlight w:val="none"/>
              </w:rPr>
            </w:pPr>
            <w:r>
              <w:rPr>
                <w:rFonts w:hint="eastAsia" w:ascii="宋体" w:hAnsi="宋体" w:eastAsia="宋体" w:cs="宋体"/>
                <w:kern w:val="2"/>
                <w:highlight w:val="none"/>
              </w:rPr>
              <w:t>视觉传达设计</w:t>
            </w:r>
          </w:p>
        </w:tc>
        <w:tc>
          <w:tcPr>
            <w:tcW w:w="690" w:type="dxa"/>
            <w:vAlign w:val="center"/>
          </w:tcPr>
          <w:p w14:paraId="5BAB7ED8">
            <w:pPr>
              <w:jc w:val="both"/>
              <w:rPr>
                <w:rFonts w:ascii="宋体" w:hAnsi="宋体" w:eastAsia="宋体" w:cs="宋体"/>
                <w:kern w:val="2"/>
                <w:sz w:val="20"/>
                <w:szCs w:val="20"/>
                <w:highlight w:val="none"/>
              </w:rPr>
            </w:pPr>
            <w:r>
              <w:rPr>
                <w:rFonts w:hint="eastAsia" w:ascii="宋体" w:hAnsi="宋体" w:eastAsia="宋体" w:cs="宋体"/>
                <w:kern w:val="2"/>
                <w:highlight w:val="none"/>
              </w:rPr>
              <w:t>四年</w:t>
            </w:r>
          </w:p>
        </w:tc>
        <w:tc>
          <w:tcPr>
            <w:tcW w:w="982" w:type="dxa"/>
            <w:vMerge w:val="continue"/>
            <w:vAlign w:val="center"/>
          </w:tcPr>
          <w:p w14:paraId="331BE68C">
            <w:pPr>
              <w:jc w:val="center"/>
              <w:rPr>
                <w:rFonts w:ascii="宋体" w:hAnsi="宋体" w:eastAsia="宋体" w:cs="宋体"/>
                <w:kern w:val="2"/>
                <w:sz w:val="20"/>
                <w:szCs w:val="20"/>
                <w:highlight w:val="none"/>
              </w:rPr>
            </w:pPr>
          </w:p>
        </w:tc>
        <w:tc>
          <w:tcPr>
            <w:tcW w:w="885" w:type="dxa"/>
            <w:vMerge w:val="continue"/>
            <w:vAlign w:val="center"/>
          </w:tcPr>
          <w:p w14:paraId="6025F2F7">
            <w:pPr>
              <w:jc w:val="center"/>
              <w:rPr>
                <w:rFonts w:ascii="宋体" w:hAnsi="宋体" w:eastAsia="宋体" w:cs="宋体"/>
                <w:kern w:val="2"/>
                <w:sz w:val="20"/>
                <w:szCs w:val="20"/>
                <w:highlight w:val="none"/>
              </w:rPr>
            </w:pPr>
          </w:p>
        </w:tc>
        <w:tc>
          <w:tcPr>
            <w:tcW w:w="616" w:type="dxa"/>
            <w:vMerge w:val="continue"/>
            <w:vAlign w:val="center"/>
          </w:tcPr>
          <w:p w14:paraId="2B0EB5B3">
            <w:pPr>
              <w:jc w:val="center"/>
              <w:rPr>
                <w:rFonts w:ascii="宋体" w:hAnsi="宋体" w:eastAsia="宋体" w:cs="宋体"/>
                <w:kern w:val="2"/>
                <w:sz w:val="20"/>
                <w:szCs w:val="20"/>
                <w:highlight w:val="none"/>
              </w:rPr>
            </w:pPr>
          </w:p>
        </w:tc>
        <w:tc>
          <w:tcPr>
            <w:tcW w:w="2452" w:type="dxa"/>
            <w:vAlign w:val="center"/>
          </w:tcPr>
          <w:p w14:paraId="6C8B3F28">
            <w:pPr>
              <w:jc w:val="center"/>
              <w:rPr>
                <w:rFonts w:ascii="宋体" w:hAnsi="宋体" w:eastAsia="宋体" w:cs="宋体"/>
                <w:color w:val="auto"/>
                <w:kern w:val="2"/>
                <w:sz w:val="20"/>
                <w:szCs w:val="20"/>
                <w:highlight w:val="none"/>
              </w:rPr>
            </w:pPr>
            <w:r>
              <w:rPr>
                <w:rFonts w:hint="eastAsia" w:ascii="宋体" w:hAnsi="宋体" w:eastAsia="宋体" w:cs="宋体"/>
                <w:color w:val="auto"/>
                <w:kern w:val="2"/>
                <w:highlight w:val="none"/>
              </w:rPr>
              <w:t>招生</w:t>
            </w:r>
          </w:p>
        </w:tc>
      </w:tr>
      <w:tr w14:paraId="7A178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449" w:type="dxa"/>
            <w:vAlign w:val="center"/>
          </w:tcPr>
          <w:p w14:paraId="32A82E81">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2</w:t>
            </w:r>
            <w:r>
              <w:rPr>
                <w:rFonts w:hint="eastAsia" w:ascii="宋体" w:hAnsi="宋体" w:eastAsia="宋体" w:cs="宋体"/>
                <w:kern w:val="2"/>
                <w:highlight w:val="none"/>
                <w:lang w:eastAsia="zh-CN"/>
              </w:rPr>
              <w:t>4</w:t>
            </w:r>
          </w:p>
        </w:tc>
        <w:tc>
          <w:tcPr>
            <w:tcW w:w="1028" w:type="dxa"/>
            <w:vAlign w:val="center"/>
          </w:tcPr>
          <w:p w14:paraId="41FA6E35">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040106</w:t>
            </w:r>
          </w:p>
        </w:tc>
        <w:tc>
          <w:tcPr>
            <w:tcW w:w="1965" w:type="dxa"/>
            <w:vAlign w:val="center"/>
          </w:tcPr>
          <w:p w14:paraId="49F252BD">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学前教育</w:t>
            </w:r>
          </w:p>
        </w:tc>
        <w:tc>
          <w:tcPr>
            <w:tcW w:w="690" w:type="dxa"/>
            <w:vAlign w:val="center"/>
          </w:tcPr>
          <w:p w14:paraId="20880EA3">
            <w:pPr>
              <w:jc w:val="both"/>
              <w:rPr>
                <w:rFonts w:ascii="宋体" w:hAnsi="宋体" w:eastAsia="宋体" w:cs="宋体"/>
                <w:kern w:val="2"/>
                <w:sz w:val="20"/>
                <w:szCs w:val="20"/>
                <w:highlight w:val="none"/>
                <w:lang w:eastAsia="zh-CN"/>
              </w:rPr>
            </w:pPr>
            <w:r>
              <w:rPr>
                <w:rFonts w:hint="eastAsia" w:ascii="宋体" w:hAnsi="宋体" w:eastAsia="宋体" w:cs="宋体"/>
                <w:kern w:val="2"/>
                <w:highlight w:val="none"/>
              </w:rPr>
              <w:t>四年</w:t>
            </w:r>
          </w:p>
        </w:tc>
        <w:tc>
          <w:tcPr>
            <w:tcW w:w="982" w:type="dxa"/>
            <w:vAlign w:val="center"/>
          </w:tcPr>
          <w:p w14:paraId="5E265D8B">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教育学</w:t>
            </w:r>
          </w:p>
        </w:tc>
        <w:tc>
          <w:tcPr>
            <w:tcW w:w="885" w:type="dxa"/>
            <w:vAlign w:val="center"/>
          </w:tcPr>
          <w:p w14:paraId="645CC813">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rPr>
              <w:t>1</w:t>
            </w:r>
          </w:p>
        </w:tc>
        <w:tc>
          <w:tcPr>
            <w:tcW w:w="616" w:type="dxa"/>
            <w:vAlign w:val="center"/>
          </w:tcPr>
          <w:p w14:paraId="77B07572">
            <w:pPr>
              <w:jc w:val="center"/>
              <w:rPr>
                <w:rFonts w:ascii="宋体" w:hAnsi="宋体" w:eastAsia="宋体" w:cs="宋体"/>
                <w:kern w:val="2"/>
                <w:sz w:val="20"/>
                <w:szCs w:val="20"/>
                <w:highlight w:val="none"/>
                <w:lang w:eastAsia="zh-CN"/>
              </w:rPr>
            </w:pPr>
            <w:r>
              <w:rPr>
                <w:rFonts w:hint="eastAsia" w:ascii="宋体" w:hAnsi="宋体" w:eastAsia="宋体" w:cs="宋体"/>
                <w:kern w:val="2"/>
                <w:highlight w:val="none"/>
                <w:lang w:eastAsia="zh-CN"/>
              </w:rPr>
              <w:t>4</w:t>
            </w:r>
            <w:r>
              <w:rPr>
                <w:rFonts w:hint="eastAsia" w:ascii="宋体" w:hAnsi="宋体" w:eastAsia="宋体" w:cs="宋体"/>
                <w:kern w:val="2"/>
                <w:highlight w:val="none"/>
              </w:rPr>
              <w:t>%</w:t>
            </w:r>
          </w:p>
        </w:tc>
        <w:tc>
          <w:tcPr>
            <w:tcW w:w="2452" w:type="dxa"/>
            <w:vAlign w:val="center"/>
          </w:tcPr>
          <w:p w14:paraId="38195157">
            <w:pPr>
              <w:jc w:val="center"/>
              <w:rPr>
                <w:rFonts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招生</w:t>
            </w:r>
          </w:p>
          <w:p w14:paraId="7285ADC6">
            <w:pPr>
              <w:jc w:val="center"/>
              <w:rPr>
                <w:rFonts w:ascii="宋体" w:hAnsi="宋体" w:eastAsia="宋体" w:cs="宋体"/>
                <w:color w:val="auto"/>
                <w:kern w:val="2"/>
                <w:sz w:val="20"/>
                <w:szCs w:val="20"/>
                <w:highlight w:val="none"/>
                <w:lang w:eastAsia="zh-CN"/>
              </w:rPr>
            </w:pPr>
            <w:r>
              <w:rPr>
                <w:rFonts w:hint="eastAsia" w:ascii="宋体" w:hAnsi="宋体" w:eastAsia="宋体" w:cs="宋体"/>
                <w:color w:val="auto"/>
                <w:kern w:val="2"/>
                <w:sz w:val="18"/>
                <w:szCs w:val="18"/>
                <w:highlight w:val="none"/>
                <w:lang w:eastAsia="zh-CN"/>
              </w:rPr>
              <w:t>校级一流本科专业</w:t>
            </w:r>
          </w:p>
        </w:tc>
      </w:tr>
      <w:tr w14:paraId="4926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49" w:type="dxa"/>
            <w:vAlign w:val="center"/>
          </w:tcPr>
          <w:p w14:paraId="02A56E77">
            <w:pPr>
              <w:jc w:val="center"/>
              <w:rPr>
                <w:rFonts w:asciiTheme="minorEastAsia" w:hAnsiTheme="minorEastAsia" w:eastAsiaTheme="minorEastAsia" w:cstheme="minorEastAsia"/>
                <w:kern w:val="2"/>
                <w:sz w:val="20"/>
                <w:szCs w:val="20"/>
                <w:highlight w:val="none"/>
                <w:lang w:eastAsia="zh-CN"/>
              </w:rPr>
            </w:pPr>
            <w:r>
              <w:rPr>
                <w:rFonts w:hint="eastAsia" w:ascii="宋体" w:hAnsi="宋体" w:cs="宋体"/>
                <w:kern w:val="2"/>
                <w:highlight w:val="none"/>
              </w:rPr>
              <w:t>2</w:t>
            </w:r>
            <w:r>
              <w:rPr>
                <w:rFonts w:hint="eastAsia" w:ascii="宋体" w:hAnsi="宋体" w:cs="宋体"/>
                <w:kern w:val="2"/>
                <w:highlight w:val="none"/>
                <w:lang w:eastAsia="zh-CN"/>
              </w:rPr>
              <w:t>5</w:t>
            </w:r>
          </w:p>
        </w:tc>
        <w:tc>
          <w:tcPr>
            <w:tcW w:w="1028" w:type="dxa"/>
            <w:vAlign w:val="center"/>
          </w:tcPr>
          <w:p w14:paraId="08C3C0CD">
            <w:pPr>
              <w:jc w:val="center"/>
              <w:rPr>
                <w:rFonts w:asciiTheme="minorEastAsia" w:hAnsiTheme="minorEastAsia" w:eastAsiaTheme="minorEastAsia" w:cstheme="minorEastAsia"/>
                <w:kern w:val="2"/>
                <w:sz w:val="20"/>
                <w:szCs w:val="20"/>
                <w:highlight w:val="none"/>
              </w:rPr>
            </w:pPr>
            <w:r>
              <w:rPr>
                <w:rFonts w:ascii="宋体" w:hAnsi="宋体" w:cs="宋体"/>
                <w:kern w:val="2"/>
                <w:highlight w:val="none"/>
              </w:rPr>
              <w:t>050103</w:t>
            </w:r>
          </w:p>
        </w:tc>
        <w:tc>
          <w:tcPr>
            <w:tcW w:w="1965" w:type="dxa"/>
            <w:vAlign w:val="center"/>
          </w:tcPr>
          <w:p w14:paraId="4AFFB312">
            <w:pPr>
              <w:jc w:val="center"/>
              <w:rPr>
                <w:rFonts w:asciiTheme="minorEastAsia" w:hAnsiTheme="minorEastAsia" w:eastAsiaTheme="minorEastAsia" w:cstheme="minorEastAsia"/>
                <w:kern w:val="2"/>
                <w:sz w:val="20"/>
                <w:szCs w:val="20"/>
                <w:highlight w:val="none"/>
              </w:rPr>
            </w:pPr>
            <w:r>
              <w:rPr>
                <w:rFonts w:hint="eastAsia" w:ascii="宋体" w:hAnsi="宋体" w:cs="宋体"/>
                <w:kern w:val="2"/>
                <w:highlight w:val="none"/>
              </w:rPr>
              <w:t>汉语国际教育</w:t>
            </w:r>
          </w:p>
        </w:tc>
        <w:tc>
          <w:tcPr>
            <w:tcW w:w="690" w:type="dxa"/>
            <w:vAlign w:val="center"/>
          </w:tcPr>
          <w:p w14:paraId="0920C118">
            <w:pPr>
              <w:jc w:val="both"/>
              <w:rPr>
                <w:rFonts w:asciiTheme="minorEastAsia" w:hAnsiTheme="minorEastAsia" w:eastAsiaTheme="minorEastAsia" w:cstheme="minorEastAsia"/>
                <w:kern w:val="2"/>
                <w:sz w:val="20"/>
                <w:szCs w:val="20"/>
                <w:highlight w:val="none"/>
              </w:rPr>
            </w:pPr>
            <w:r>
              <w:rPr>
                <w:rFonts w:hint="eastAsia" w:ascii="宋体" w:hAnsi="宋体" w:cs="宋体"/>
                <w:kern w:val="2"/>
                <w:highlight w:val="none"/>
              </w:rPr>
              <w:t>四年</w:t>
            </w:r>
          </w:p>
        </w:tc>
        <w:tc>
          <w:tcPr>
            <w:tcW w:w="982" w:type="dxa"/>
            <w:vAlign w:val="center"/>
          </w:tcPr>
          <w:p w14:paraId="7B1A0933">
            <w:pPr>
              <w:jc w:val="center"/>
              <w:rPr>
                <w:rFonts w:asciiTheme="minorEastAsia" w:hAnsiTheme="minorEastAsia" w:eastAsiaTheme="minorEastAsia" w:cstheme="minorEastAsia"/>
                <w:kern w:val="2"/>
                <w:sz w:val="20"/>
                <w:szCs w:val="20"/>
                <w:highlight w:val="none"/>
              </w:rPr>
            </w:pPr>
            <w:r>
              <w:rPr>
                <w:rFonts w:hint="eastAsia" w:ascii="宋体" w:hAnsi="宋体" w:cs="宋体"/>
                <w:kern w:val="2"/>
                <w:highlight w:val="none"/>
              </w:rPr>
              <w:t>文学</w:t>
            </w:r>
          </w:p>
        </w:tc>
        <w:tc>
          <w:tcPr>
            <w:tcW w:w="885" w:type="dxa"/>
            <w:vAlign w:val="center"/>
          </w:tcPr>
          <w:p w14:paraId="29B1BD3C">
            <w:pPr>
              <w:jc w:val="center"/>
              <w:rPr>
                <w:rFonts w:asciiTheme="minorEastAsia" w:hAnsiTheme="minorEastAsia" w:eastAsiaTheme="minorEastAsia" w:cstheme="minorEastAsia"/>
                <w:kern w:val="2"/>
                <w:sz w:val="20"/>
                <w:szCs w:val="20"/>
                <w:highlight w:val="none"/>
              </w:rPr>
            </w:pPr>
            <w:r>
              <w:rPr>
                <w:rFonts w:hint="eastAsia" w:ascii="宋体" w:hAnsi="宋体" w:cs="宋体"/>
                <w:kern w:val="2"/>
                <w:highlight w:val="none"/>
              </w:rPr>
              <w:t>1</w:t>
            </w:r>
          </w:p>
        </w:tc>
        <w:tc>
          <w:tcPr>
            <w:tcW w:w="616" w:type="dxa"/>
            <w:vAlign w:val="center"/>
          </w:tcPr>
          <w:p w14:paraId="76C70175">
            <w:pPr>
              <w:jc w:val="center"/>
              <w:rPr>
                <w:rFonts w:asciiTheme="minorEastAsia" w:hAnsiTheme="minorEastAsia" w:eastAsiaTheme="minorEastAsia" w:cstheme="minorEastAsia"/>
                <w:kern w:val="2"/>
                <w:sz w:val="20"/>
                <w:szCs w:val="20"/>
                <w:highlight w:val="none"/>
              </w:rPr>
            </w:pPr>
            <w:r>
              <w:rPr>
                <w:rFonts w:hint="eastAsia" w:ascii="宋体" w:hAnsi="宋体" w:cs="宋体"/>
                <w:kern w:val="2"/>
                <w:highlight w:val="none"/>
                <w:lang w:eastAsia="zh-CN"/>
              </w:rPr>
              <w:t>4</w:t>
            </w:r>
            <w:r>
              <w:rPr>
                <w:rFonts w:hint="eastAsia" w:ascii="宋体" w:hAnsi="宋体" w:cs="宋体"/>
                <w:kern w:val="2"/>
                <w:highlight w:val="none"/>
              </w:rPr>
              <w:t>%</w:t>
            </w:r>
          </w:p>
        </w:tc>
        <w:tc>
          <w:tcPr>
            <w:tcW w:w="2452" w:type="dxa"/>
            <w:vAlign w:val="center"/>
          </w:tcPr>
          <w:p w14:paraId="122DFA4D">
            <w:pPr>
              <w:jc w:val="center"/>
              <w:rPr>
                <w:rFonts w:asciiTheme="minorEastAsia" w:hAnsiTheme="minorEastAsia" w:eastAsiaTheme="minorEastAsia" w:cstheme="minorEastAsia"/>
                <w:kern w:val="2"/>
                <w:sz w:val="20"/>
                <w:szCs w:val="20"/>
                <w:highlight w:val="none"/>
              </w:rPr>
            </w:pPr>
            <w:r>
              <w:rPr>
                <w:rFonts w:hint="eastAsia" w:ascii="宋体" w:hAnsi="宋体" w:cs="宋体"/>
                <w:kern w:val="2"/>
                <w:highlight w:val="none"/>
              </w:rPr>
              <w:t>招生</w:t>
            </w:r>
          </w:p>
        </w:tc>
      </w:tr>
    </w:tbl>
    <w:p w14:paraId="1C7FCA9A">
      <w:pPr>
        <w:spacing w:before="208" w:line="240" w:lineRule="auto"/>
        <w:jc w:val="center"/>
        <w:rPr>
          <w:rFonts w:hint="eastAsia" w:ascii="宋体" w:hAnsi="宋体" w:eastAsia="宋体" w:cs="宋体"/>
          <w:spacing w:val="4"/>
          <w:sz w:val="20"/>
          <w:szCs w:val="20"/>
          <w:highlight w:val="none"/>
          <w:lang w:eastAsia="zh-CN"/>
        </w:rPr>
      </w:pPr>
      <w:r>
        <w:rPr>
          <w:rFonts w:hint="eastAsia" w:ascii="宋体" w:hAnsi="宋体" w:eastAsia="宋体" w:cs="宋体"/>
          <w:spacing w:val="4"/>
          <w:sz w:val="20"/>
          <w:szCs w:val="20"/>
          <w:highlight w:val="none"/>
          <w:lang w:eastAsia="zh-CN"/>
        </w:rPr>
        <w:drawing>
          <wp:inline distT="0" distB="0" distL="114300" distR="114300">
            <wp:extent cx="4839970" cy="2755265"/>
            <wp:effectExtent l="0" t="0" r="17780" b="6985"/>
            <wp:docPr id="9" name="图片 9"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2"/>
                    <pic:cNvPicPr>
                      <a:picLocks noChangeAspect="1"/>
                    </pic:cNvPicPr>
                  </pic:nvPicPr>
                  <pic:blipFill>
                    <a:blip r:embed="rId12"/>
                    <a:stretch>
                      <a:fillRect/>
                    </a:stretch>
                  </pic:blipFill>
                  <pic:spPr>
                    <a:xfrm>
                      <a:off x="0" y="0"/>
                      <a:ext cx="4839970" cy="2755265"/>
                    </a:xfrm>
                    <a:prstGeom prst="rect">
                      <a:avLst/>
                    </a:prstGeom>
                  </pic:spPr>
                </pic:pic>
              </a:graphicData>
            </a:graphic>
          </wp:inline>
        </w:drawing>
      </w:r>
    </w:p>
    <w:p w14:paraId="279713B5">
      <w:pPr>
        <w:jc w:val="center"/>
        <w:rPr>
          <w:rFonts w:ascii="宋体" w:hAnsi="宋体" w:eastAsia="宋体" w:cs="宋体"/>
          <w:spacing w:val="4"/>
          <w:highlight w:val="none"/>
          <w:lang w:eastAsia="zh-CN"/>
        </w:rPr>
      </w:pPr>
      <w:r>
        <w:rPr>
          <w:rFonts w:ascii="宋体" w:hAnsi="宋体" w:eastAsia="宋体" w:cs="宋体"/>
          <w:spacing w:val="4"/>
          <w:highlight w:val="none"/>
          <w:lang w:eastAsia="zh-CN"/>
        </w:rPr>
        <w:t>图1</w:t>
      </w:r>
      <w:r>
        <w:rPr>
          <w:rFonts w:hint="eastAsia" w:ascii="宋体" w:hAnsi="宋体" w:eastAsia="宋体" w:cs="宋体"/>
          <w:spacing w:val="4"/>
          <w:highlight w:val="none"/>
          <w:lang w:eastAsia="zh-CN"/>
        </w:rPr>
        <w:t xml:space="preserve">-1 </w:t>
      </w:r>
      <w:r>
        <w:rPr>
          <w:rFonts w:ascii="宋体" w:hAnsi="宋体" w:eastAsia="宋体" w:cs="宋体"/>
          <w:spacing w:val="4"/>
          <w:highlight w:val="none"/>
          <w:lang w:eastAsia="zh-CN"/>
        </w:rPr>
        <w:t>各学科专业占比情况（%）</w:t>
      </w:r>
      <w:bookmarkStart w:id="16" w:name="bookmark5"/>
      <w:bookmarkEnd w:id="16"/>
    </w:p>
    <w:p w14:paraId="3A8EB593">
      <w:pPr>
        <w:rPr>
          <w:rFonts w:ascii="宋体" w:hAnsi="宋体" w:eastAsia="宋体" w:cs="宋体"/>
          <w:spacing w:val="4"/>
          <w:highlight w:val="none"/>
          <w:lang w:eastAsia="zh-CN"/>
        </w:rPr>
      </w:pPr>
      <w:r>
        <w:rPr>
          <w:rFonts w:ascii="宋体" w:hAnsi="宋体" w:eastAsia="宋体" w:cs="宋体"/>
          <w:spacing w:val="4"/>
          <w:highlight w:val="none"/>
          <w:lang w:eastAsia="zh-CN"/>
        </w:rPr>
        <w:br w:type="page"/>
      </w:r>
    </w:p>
    <w:p w14:paraId="2A86B620">
      <w:pPr>
        <w:keepNext w:val="0"/>
        <w:keepLines w:val="0"/>
        <w:pageBreakBefore w:val="0"/>
        <w:widowControl/>
        <w:kinsoku w:val="0"/>
        <w:wordWrap/>
        <w:overflowPunct/>
        <w:topLinePunct w:val="0"/>
        <w:autoSpaceDE w:val="0"/>
        <w:autoSpaceDN w:val="0"/>
        <w:bidi w:val="0"/>
        <w:adjustRightInd/>
        <w:snapToGrid/>
        <w:spacing w:before="120" w:beforeLines="50" w:after="120" w:afterLines="50"/>
        <w:jc w:val="both"/>
        <w:textAlignment w:val="baseline"/>
        <w:outlineLvl w:val="1"/>
        <w:rPr>
          <w:rFonts w:hint="eastAsia" w:ascii="黑体" w:hAnsi="黑体" w:eastAsia="黑体" w:cs="黑体"/>
          <w:sz w:val="28"/>
          <w:szCs w:val="28"/>
          <w:highlight w:val="none"/>
          <w:lang w:eastAsia="zh-CN"/>
        </w:rPr>
      </w:pPr>
      <w:bookmarkStart w:id="17" w:name="_Toc9078"/>
      <w:r>
        <w:rPr>
          <w:rFonts w:hint="eastAsia" w:ascii="黑体" w:hAnsi="黑体" w:eastAsia="黑体" w:cs="黑体"/>
          <w:sz w:val="28"/>
          <w:szCs w:val="28"/>
          <w:highlight w:val="none"/>
          <w:lang w:eastAsia="zh-CN"/>
        </w:rPr>
        <w:t>三、各类全日制在校学生情况及本科生所占比例</w:t>
      </w:r>
      <w:bookmarkEnd w:id="17"/>
    </w:p>
    <w:p w14:paraId="041944C8">
      <w:pPr>
        <w:spacing w:line="400" w:lineRule="exact"/>
        <w:ind w:firstLine="480" w:firstLineChars="200"/>
        <w:jc w:val="both"/>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目前学校全日制在校生总规模为15290人，普通本科生数为8149人，普通专科生数为7141人，本科生数占全日制在校生总数的比例为53.30%。各类学生人数详见表1-2。</w:t>
      </w:r>
    </w:p>
    <w:p w14:paraId="6496EC1B">
      <w:pPr>
        <w:spacing w:before="120" w:beforeLines="50"/>
        <w:jc w:val="center"/>
        <w:rPr>
          <w:rFonts w:hint="eastAsia" w:asciiTheme="minorEastAsia" w:hAnsiTheme="minorEastAsia" w:eastAsiaTheme="minorEastAsia" w:cstheme="minorEastAsia"/>
          <w:spacing w:val="7"/>
          <w:highlight w:val="none"/>
          <w:lang w:eastAsia="zh-CN"/>
        </w:rPr>
      </w:pPr>
      <w:r>
        <w:rPr>
          <w:rFonts w:hint="eastAsia" w:asciiTheme="minorEastAsia" w:hAnsiTheme="minorEastAsia" w:eastAsiaTheme="minorEastAsia" w:cstheme="minorEastAsia"/>
          <w:spacing w:val="7"/>
          <w:highlight w:val="none"/>
          <w:lang w:eastAsia="zh-CN"/>
        </w:rPr>
        <w:t>表1-2 各类学生人数一览表</w:t>
      </w:r>
    </w:p>
    <w:tbl>
      <w:tblPr>
        <w:tblStyle w:val="2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4"/>
        <w:gridCol w:w="3405"/>
        <w:gridCol w:w="3261"/>
      </w:tblGrid>
      <w:tr w14:paraId="15C2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3D1E1CE2">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普通本科生数</w:t>
            </w:r>
          </w:p>
        </w:tc>
        <w:tc>
          <w:tcPr>
            <w:tcW w:w="3261" w:type="dxa"/>
            <w:vAlign w:val="center"/>
          </w:tcPr>
          <w:p w14:paraId="6F4CFC86">
            <w:pPr>
              <w:widowControl w:val="0"/>
              <w:jc w:val="center"/>
              <w:rPr>
                <w:rFonts w:hint="default" w:ascii="宋体" w:hAnsi="宋体" w:eastAsia="宋体"/>
                <w:sz w:val="24"/>
                <w:szCs w:val="24"/>
                <w:highlight w:val="none"/>
                <w:vertAlign w:val="baseline"/>
                <w:lang w:val="en-US"/>
              </w:rPr>
            </w:pPr>
            <w:r>
              <w:rPr>
                <w:rFonts w:hint="eastAsia"/>
                <w:highlight w:val="none"/>
                <w:lang w:val="en-US" w:eastAsia="zh-CN"/>
              </w:rPr>
              <w:t>8149</w:t>
            </w:r>
          </w:p>
        </w:tc>
      </w:tr>
      <w:tr w14:paraId="700E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34744930">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其中：与国（境）外大学联合培养的学生数</w:t>
            </w:r>
          </w:p>
        </w:tc>
        <w:tc>
          <w:tcPr>
            <w:tcW w:w="3261" w:type="dxa"/>
            <w:vAlign w:val="center"/>
          </w:tcPr>
          <w:p w14:paraId="1C1B03B8">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46486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7DAAC65D">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普通高职(含专科)生数</w:t>
            </w:r>
          </w:p>
        </w:tc>
        <w:tc>
          <w:tcPr>
            <w:tcW w:w="3261" w:type="dxa"/>
            <w:vAlign w:val="center"/>
          </w:tcPr>
          <w:p w14:paraId="64EC241F">
            <w:pPr>
              <w:widowControl w:val="0"/>
              <w:jc w:val="center"/>
              <w:rPr>
                <w:rFonts w:hint="default" w:ascii="宋体" w:hAnsi="宋体" w:eastAsia="宋体"/>
                <w:sz w:val="24"/>
                <w:szCs w:val="24"/>
                <w:highlight w:val="none"/>
                <w:vertAlign w:val="baseline"/>
                <w:lang w:val="en-US"/>
              </w:rPr>
            </w:pPr>
            <w:r>
              <w:rPr>
                <w:rFonts w:hint="eastAsia"/>
                <w:highlight w:val="none"/>
                <w:lang w:val="en-US" w:eastAsia="zh-CN"/>
              </w:rPr>
              <w:t>7141</w:t>
            </w:r>
          </w:p>
        </w:tc>
      </w:tr>
      <w:tr w14:paraId="2BE1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restart"/>
            <w:vAlign w:val="center"/>
          </w:tcPr>
          <w:p w14:paraId="49749FD2">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硕士研究生数</w:t>
            </w:r>
          </w:p>
        </w:tc>
        <w:tc>
          <w:tcPr>
            <w:tcW w:w="3405" w:type="dxa"/>
            <w:vAlign w:val="center"/>
          </w:tcPr>
          <w:p w14:paraId="66D7B592">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全日制</w:t>
            </w:r>
          </w:p>
        </w:tc>
        <w:tc>
          <w:tcPr>
            <w:tcW w:w="3261" w:type="dxa"/>
            <w:vAlign w:val="center"/>
          </w:tcPr>
          <w:p w14:paraId="423D1D45">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35D3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continue"/>
            <w:vAlign w:val="center"/>
          </w:tcPr>
          <w:p w14:paraId="485A3B93">
            <w:pPr>
              <w:widowControl w:val="0"/>
              <w:jc w:val="center"/>
              <w:rPr>
                <w:rFonts w:hint="eastAsia" w:ascii="宋体" w:hAnsi="宋体" w:eastAsia="宋体"/>
                <w:sz w:val="24"/>
                <w:szCs w:val="24"/>
                <w:highlight w:val="none"/>
                <w:vertAlign w:val="baseline"/>
              </w:rPr>
            </w:pPr>
          </w:p>
        </w:tc>
        <w:tc>
          <w:tcPr>
            <w:tcW w:w="3405" w:type="dxa"/>
            <w:vAlign w:val="center"/>
          </w:tcPr>
          <w:p w14:paraId="3D96108F">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lang w:val="en-US" w:eastAsia="zh-CN"/>
              </w:rPr>
              <w:t>非</w:t>
            </w:r>
            <w:r>
              <w:rPr>
                <w:rFonts w:hint="eastAsia" w:ascii="宋体" w:hAnsi="宋体" w:eastAsia="宋体"/>
                <w:b/>
                <w:sz w:val="21"/>
                <w:szCs w:val="21"/>
                <w:highlight w:val="none"/>
              </w:rPr>
              <w:t>全日制</w:t>
            </w:r>
          </w:p>
        </w:tc>
        <w:tc>
          <w:tcPr>
            <w:tcW w:w="3261" w:type="dxa"/>
            <w:vAlign w:val="center"/>
          </w:tcPr>
          <w:p w14:paraId="044C884D">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23F81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restart"/>
            <w:vAlign w:val="center"/>
          </w:tcPr>
          <w:p w14:paraId="32FDA6A9">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博士研究生数</w:t>
            </w:r>
          </w:p>
        </w:tc>
        <w:tc>
          <w:tcPr>
            <w:tcW w:w="3405" w:type="dxa"/>
            <w:vAlign w:val="center"/>
          </w:tcPr>
          <w:p w14:paraId="0964957A">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全日制</w:t>
            </w:r>
          </w:p>
        </w:tc>
        <w:tc>
          <w:tcPr>
            <w:tcW w:w="3261" w:type="dxa"/>
            <w:vAlign w:val="center"/>
          </w:tcPr>
          <w:p w14:paraId="42E83956">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09A0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continue"/>
            <w:vAlign w:val="center"/>
          </w:tcPr>
          <w:p w14:paraId="308B0609">
            <w:pPr>
              <w:widowControl w:val="0"/>
              <w:jc w:val="center"/>
              <w:rPr>
                <w:rFonts w:hint="eastAsia" w:ascii="宋体" w:hAnsi="宋体" w:eastAsia="宋体"/>
                <w:sz w:val="24"/>
                <w:szCs w:val="24"/>
                <w:highlight w:val="none"/>
                <w:vertAlign w:val="baseline"/>
              </w:rPr>
            </w:pPr>
          </w:p>
        </w:tc>
        <w:tc>
          <w:tcPr>
            <w:tcW w:w="3405" w:type="dxa"/>
            <w:vAlign w:val="center"/>
          </w:tcPr>
          <w:p w14:paraId="46D6A80C">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lang w:val="en-US" w:eastAsia="zh-CN"/>
              </w:rPr>
              <w:t>非</w:t>
            </w:r>
            <w:r>
              <w:rPr>
                <w:rFonts w:hint="eastAsia" w:ascii="宋体" w:hAnsi="宋体" w:eastAsia="宋体"/>
                <w:b/>
                <w:sz w:val="21"/>
                <w:szCs w:val="21"/>
                <w:highlight w:val="none"/>
              </w:rPr>
              <w:t>全日制</w:t>
            </w:r>
          </w:p>
        </w:tc>
        <w:tc>
          <w:tcPr>
            <w:tcW w:w="3261" w:type="dxa"/>
            <w:vAlign w:val="center"/>
          </w:tcPr>
          <w:p w14:paraId="0896B531">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3E28D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restart"/>
            <w:vAlign w:val="center"/>
          </w:tcPr>
          <w:p w14:paraId="28465AE6">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留学生数</w:t>
            </w:r>
          </w:p>
        </w:tc>
        <w:tc>
          <w:tcPr>
            <w:tcW w:w="3405" w:type="dxa"/>
            <w:vAlign w:val="center"/>
          </w:tcPr>
          <w:p w14:paraId="443AD58F">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总数</w:t>
            </w:r>
          </w:p>
        </w:tc>
        <w:tc>
          <w:tcPr>
            <w:tcW w:w="3261" w:type="dxa"/>
            <w:vAlign w:val="center"/>
          </w:tcPr>
          <w:p w14:paraId="5282689C">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5139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continue"/>
            <w:vAlign w:val="center"/>
          </w:tcPr>
          <w:p w14:paraId="6DC03DD7">
            <w:pPr>
              <w:widowControl w:val="0"/>
              <w:jc w:val="center"/>
              <w:rPr>
                <w:rFonts w:hint="eastAsia" w:ascii="宋体" w:hAnsi="宋体" w:eastAsia="宋体"/>
                <w:sz w:val="24"/>
                <w:szCs w:val="24"/>
                <w:highlight w:val="none"/>
                <w:vertAlign w:val="baseline"/>
              </w:rPr>
            </w:pPr>
          </w:p>
        </w:tc>
        <w:tc>
          <w:tcPr>
            <w:tcW w:w="3405" w:type="dxa"/>
            <w:vAlign w:val="center"/>
          </w:tcPr>
          <w:p w14:paraId="07363CA8">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其中：本科生数</w:t>
            </w:r>
          </w:p>
        </w:tc>
        <w:tc>
          <w:tcPr>
            <w:tcW w:w="3261" w:type="dxa"/>
            <w:vAlign w:val="center"/>
          </w:tcPr>
          <w:p w14:paraId="3482A1AA">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2684E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continue"/>
            <w:vAlign w:val="center"/>
          </w:tcPr>
          <w:p w14:paraId="3DE1A43A">
            <w:pPr>
              <w:widowControl w:val="0"/>
              <w:jc w:val="center"/>
              <w:rPr>
                <w:rFonts w:hint="eastAsia" w:ascii="宋体" w:hAnsi="宋体" w:eastAsia="宋体"/>
                <w:sz w:val="24"/>
                <w:szCs w:val="24"/>
                <w:highlight w:val="none"/>
                <w:vertAlign w:val="baseline"/>
              </w:rPr>
            </w:pPr>
          </w:p>
        </w:tc>
        <w:tc>
          <w:tcPr>
            <w:tcW w:w="3405" w:type="dxa"/>
            <w:vAlign w:val="center"/>
          </w:tcPr>
          <w:p w14:paraId="14A3935A">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硕士研究生数</w:t>
            </w:r>
          </w:p>
        </w:tc>
        <w:tc>
          <w:tcPr>
            <w:tcW w:w="3261" w:type="dxa"/>
            <w:vAlign w:val="center"/>
          </w:tcPr>
          <w:p w14:paraId="61EBE337">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7CB8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continue"/>
            <w:vAlign w:val="center"/>
          </w:tcPr>
          <w:p w14:paraId="45D268E6">
            <w:pPr>
              <w:widowControl w:val="0"/>
              <w:jc w:val="center"/>
              <w:rPr>
                <w:rFonts w:hint="eastAsia" w:ascii="宋体" w:hAnsi="宋体" w:eastAsia="宋体"/>
                <w:sz w:val="24"/>
                <w:szCs w:val="24"/>
                <w:highlight w:val="none"/>
                <w:vertAlign w:val="baseline"/>
              </w:rPr>
            </w:pPr>
          </w:p>
        </w:tc>
        <w:tc>
          <w:tcPr>
            <w:tcW w:w="3405" w:type="dxa"/>
            <w:vAlign w:val="center"/>
          </w:tcPr>
          <w:p w14:paraId="722E3E24">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博士研究生人数</w:t>
            </w:r>
          </w:p>
        </w:tc>
        <w:tc>
          <w:tcPr>
            <w:tcW w:w="3261" w:type="dxa"/>
            <w:vAlign w:val="center"/>
          </w:tcPr>
          <w:p w14:paraId="1CDBA8C5">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7D23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4" w:type="dxa"/>
            <w:vMerge w:val="continue"/>
            <w:vAlign w:val="center"/>
          </w:tcPr>
          <w:p w14:paraId="6A7C86BF">
            <w:pPr>
              <w:widowControl w:val="0"/>
              <w:jc w:val="center"/>
              <w:rPr>
                <w:rFonts w:hint="eastAsia" w:ascii="宋体" w:hAnsi="宋体" w:eastAsia="宋体"/>
                <w:sz w:val="24"/>
                <w:szCs w:val="24"/>
                <w:highlight w:val="none"/>
                <w:vertAlign w:val="baseline"/>
              </w:rPr>
            </w:pPr>
          </w:p>
        </w:tc>
        <w:tc>
          <w:tcPr>
            <w:tcW w:w="3405" w:type="dxa"/>
            <w:vAlign w:val="center"/>
          </w:tcPr>
          <w:p w14:paraId="1CD8E7C3">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授予博士学位的留学生数（人）</w:t>
            </w:r>
          </w:p>
        </w:tc>
        <w:tc>
          <w:tcPr>
            <w:tcW w:w="3261" w:type="dxa"/>
            <w:vAlign w:val="center"/>
          </w:tcPr>
          <w:p w14:paraId="231E0EE9">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3A8D6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413B65BA">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普通预科生数</w:t>
            </w:r>
          </w:p>
        </w:tc>
        <w:tc>
          <w:tcPr>
            <w:tcW w:w="3261" w:type="dxa"/>
            <w:vAlign w:val="center"/>
          </w:tcPr>
          <w:p w14:paraId="359C458D">
            <w:pPr>
              <w:widowControl w:val="0"/>
              <w:jc w:val="center"/>
              <w:rPr>
                <w:rFonts w:hint="eastAsia" w:ascii="宋体" w:hAnsi="宋体" w:eastAsia="宋体"/>
                <w:sz w:val="24"/>
                <w:szCs w:val="24"/>
                <w:highlight w:val="none"/>
                <w:vertAlign w:val="baseline"/>
              </w:rPr>
            </w:pPr>
            <w:r>
              <w:rPr>
                <w:rFonts w:hint="eastAsia"/>
                <w:highlight w:val="none"/>
                <w:lang w:val="en-US" w:eastAsia="zh-CN"/>
              </w:rPr>
              <w:t>0</w:t>
            </w:r>
          </w:p>
        </w:tc>
      </w:tr>
      <w:tr w14:paraId="2827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6A7BAD8F">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进修生数</w:t>
            </w:r>
          </w:p>
        </w:tc>
        <w:tc>
          <w:tcPr>
            <w:tcW w:w="3261" w:type="dxa"/>
            <w:vAlign w:val="center"/>
          </w:tcPr>
          <w:p w14:paraId="14E7CC00">
            <w:pPr>
              <w:widowControl w:val="0"/>
              <w:jc w:val="center"/>
              <w:rPr>
                <w:rFonts w:hint="eastAsia" w:asciiTheme="minorHAnsi" w:hAnsiTheme="minorHAnsi" w:eastAsiaTheme="minorEastAsia" w:cstheme="minorBidi"/>
                <w:kern w:val="2"/>
                <w:sz w:val="21"/>
                <w:szCs w:val="22"/>
                <w:highlight w:val="none"/>
                <w:lang w:val="en-US" w:eastAsia="zh-CN" w:bidi="ar-SA"/>
              </w:rPr>
            </w:pPr>
            <w:r>
              <w:rPr>
                <w:rFonts w:hint="eastAsia"/>
                <w:highlight w:val="none"/>
                <w:lang w:val="en-US" w:eastAsia="zh-CN"/>
              </w:rPr>
              <w:t>0</w:t>
            </w:r>
          </w:p>
        </w:tc>
      </w:tr>
      <w:tr w14:paraId="7C75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31013D9E">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成人脱产学生数</w:t>
            </w:r>
          </w:p>
        </w:tc>
        <w:tc>
          <w:tcPr>
            <w:tcW w:w="3261" w:type="dxa"/>
            <w:vAlign w:val="center"/>
          </w:tcPr>
          <w:p w14:paraId="11BB558A">
            <w:pPr>
              <w:widowControl w:val="0"/>
              <w:jc w:val="center"/>
              <w:rPr>
                <w:rFonts w:hint="eastAsia" w:ascii="宋体" w:hAnsi="宋体" w:eastAsia="宋体"/>
                <w:sz w:val="24"/>
                <w:szCs w:val="24"/>
                <w:highlight w:val="none"/>
                <w:vertAlign w:val="baseline"/>
              </w:rPr>
            </w:pPr>
            <w:r>
              <w:rPr>
                <w:rFonts w:hint="eastAsia" w:ascii="宋体" w:hAnsi="宋体" w:eastAsia="宋体"/>
                <w:sz w:val="21"/>
                <w:szCs w:val="21"/>
                <w:highlight w:val="none"/>
                <w:lang w:val="en-US" w:eastAsia="zh-CN"/>
              </w:rPr>
              <w:t>0</w:t>
            </w:r>
          </w:p>
        </w:tc>
      </w:tr>
      <w:tr w14:paraId="75D7E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57136377">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夜大（业余）学生数</w:t>
            </w:r>
          </w:p>
        </w:tc>
        <w:tc>
          <w:tcPr>
            <w:tcW w:w="3261" w:type="dxa"/>
            <w:vAlign w:val="center"/>
          </w:tcPr>
          <w:p w14:paraId="510F1832">
            <w:pPr>
              <w:widowControl w:val="0"/>
              <w:jc w:val="center"/>
              <w:rPr>
                <w:rFonts w:hint="eastAsia" w:ascii="宋体" w:hAnsi="宋体" w:eastAsia="宋体"/>
                <w:sz w:val="24"/>
                <w:szCs w:val="24"/>
                <w:highlight w:val="none"/>
                <w:vertAlign w:val="baseline"/>
              </w:rPr>
            </w:pPr>
            <w:r>
              <w:rPr>
                <w:rFonts w:hint="eastAsia" w:ascii="宋体" w:hAnsi="宋体" w:eastAsia="宋体"/>
                <w:sz w:val="21"/>
                <w:szCs w:val="21"/>
                <w:highlight w:val="none"/>
                <w:lang w:val="en-US" w:eastAsia="zh-CN"/>
              </w:rPr>
              <w:t>0</w:t>
            </w:r>
          </w:p>
        </w:tc>
      </w:tr>
      <w:tr w14:paraId="2DE46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58ABAD49">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函授学生数</w:t>
            </w:r>
          </w:p>
        </w:tc>
        <w:tc>
          <w:tcPr>
            <w:tcW w:w="3261" w:type="dxa"/>
            <w:vAlign w:val="center"/>
          </w:tcPr>
          <w:p w14:paraId="44A749DB">
            <w:pPr>
              <w:widowControl w:val="0"/>
              <w:jc w:val="center"/>
              <w:rPr>
                <w:rFonts w:hint="eastAsia" w:ascii="宋体" w:hAnsi="宋体" w:eastAsia="宋体"/>
                <w:sz w:val="24"/>
                <w:szCs w:val="24"/>
                <w:highlight w:val="none"/>
                <w:vertAlign w:val="baseline"/>
              </w:rPr>
            </w:pPr>
            <w:r>
              <w:rPr>
                <w:rFonts w:hint="eastAsia" w:ascii="宋体" w:hAnsi="宋体" w:eastAsia="宋体"/>
                <w:sz w:val="21"/>
                <w:szCs w:val="21"/>
                <w:highlight w:val="none"/>
                <w:lang w:val="en-US" w:eastAsia="zh-CN"/>
              </w:rPr>
              <w:t>0</w:t>
            </w:r>
          </w:p>
        </w:tc>
      </w:tr>
      <w:tr w14:paraId="06A0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6F85324C">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网络学生数</w:t>
            </w:r>
          </w:p>
        </w:tc>
        <w:tc>
          <w:tcPr>
            <w:tcW w:w="3261" w:type="dxa"/>
            <w:vAlign w:val="center"/>
          </w:tcPr>
          <w:p w14:paraId="0638C968">
            <w:pPr>
              <w:widowControl w:val="0"/>
              <w:jc w:val="center"/>
              <w:rPr>
                <w:rFonts w:hint="eastAsia" w:ascii="宋体" w:hAnsi="宋体" w:eastAsia="宋体"/>
                <w:sz w:val="24"/>
                <w:szCs w:val="24"/>
                <w:highlight w:val="none"/>
                <w:vertAlign w:val="baseline"/>
              </w:rPr>
            </w:pPr>
            <w:r>
              <w:rPr>
                <w:rFonts w:hint="eastAsia" w:ascii="宋体" w:hAnsi="宋体" w:eastAsia="宋体"/>
                <w:sz w:val="21"/>
                <w:szCs w:val="21"/>
                <w:highlight w:val="none"/>
                <w:lang w:val="en-US" w:eastAsia="zh-CN"/>
              </w:rPr>
              <w:t>0</w:t>
            </w:r>
          </w:p>
        </w:tc>
      </w:tr>
      <w:tr w14:paraId="3FBA7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7CD672A1">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自考学生数</w:t>
            </w:r>
          </w:p>
        </w:tc>
        <w:tc>
          <w:tcPr>
            <w:tcW w:w="3261" w:type="dxa"/>
            <w:vAlign w:val="center"/>
          </w:tcPr>
          <w:p w14:paraId="14B6FB6D">
            <w:pPr>
              <w:widowControl w:val="0"/>
              <w:jc w:val="center"/>
              <w:rPr>
                <w:rFonts w:hint="eastAsia" w:ascii="宋体" w:hAnsi="宋体" w:eastAsia="宋体"/>
                <w:sz w:val="24"/>
                <w:szCs w:val="24"/>
                <w:highlight w:val="none"/>
                <w:vertAlign w:val="baseline"/>
              </w:rPr>
            </w:pPr>
            <w:r>
              <w:rPr>
                <w:rFonts w:hint="eastAsia" w:ascii="宋体" w:hAnsi="宋体" w:eastAsia="宋体"/>
                <w:sz w:val="21"/>
                <w:szCs w:val="21"/>
                <w:highlight w:val="none"/>
                <w:lang w:val="en-US" w:eastAsia="zh-CN"/>
              </w:rPr>
              <w:t>0</w:t>
            </w:r>
          </w:p>
        </w:tc>
      </w:tr>
      <w:tr w14:paraId="30C00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59" w:type="dxa"/>
            <w:gridSpan w:val="2"/>
            <w:vAlign w:val="center"/>
          </w:tcPr>
          <w:p w14:paraId="398C1040">
            <w:pPr>
              <w:widowControl w:val="0"/>
              <w:jc w:val="center"/>
              <w:rPr>
                <w:rFonts w:hint="eastAsia" w:ascii="宋体" w:hAnsi="宋体" w:eastAsia="宋体"/>
                <w:sz w:val="24"/>
                <w:szCs w:val="24"/>
                <w:highlight w:val="none"/>
                <w:vertAlign w:val="baseline"/>
              </w:rPr>
            </w:pPr>
            <w:r>
              <w:rPr>
                <w:rFonts w:hint="eastAsia" w:ascii="宋体" w:hAnsi="宋体" w:eastAsia="宋体"/>
                <w:b/>
                <w:sz w:val="21"/>
                <w:szCs w:val="21"/>
                <w:highlight w:val="none"/>
              </w:rPr>
              <w:t>中职在校生数（人）</w:t>
            </w:r>
          </w:p>
        </w:tc>
        <w:tc>
          <w:tcPr>
            <w:tcW w:w="3261" w:type="dxa"/>
            <w:vAlign w:val="center"/>
          </w:tcPr>
          <w:p w14:paraId="4310FE53">
            <w:pPr>
              <w:widowControl w:val="0"/>
              <w:jc w:val="center"/>
              <w:rPr>
                <w:rFonts w:hint="eastAsia" w:ascii="宋体" w:hAnsi="宋体" w:eastAsia="宋体"/>
                <w:sz w:val="24"/>
                <w:szCs w:val="24"/>
                <w:highlight w:val="none"/>
                <w:vertAlign w:val="baseline"/>
              </w:rPr>
            </w:pPr>
            <w:r>
              <w:rPr>
                <w:rFonts w:hint="eastAsia" w:ascii="宋体" w:hAnsi="宋体" w:eastAsia="宋体"/>
                <w:sz w:val="21"/>
                <w:szCs w:val="21"/>
                <w:highlight w:val="none"/>
                <w:lang w:val="en-US" w:eastAsia="zh-CN"/>
              </w:rPr>
              <w:t>0</w:t>
            </w:r>
          </w:p>
        </w:tc>
      </w:tr>
    </w:tbl>
    <w:p w14:paraId="22D3E723">
      <w:pPr>
        <w:pStyle w:val="18"/>
        <w:rPr>
          <w:highlight w:val="none"/>
          <w:lang w:eastAsia="zh-CN"/>
        </w:rPr>
      </w:pPr>
    </w:p>
    <w:p w14:paraId="75E90988">
      <w:pPr>
        <w:keepNext w:val="0"/>
        <w:keepLines w:val="0"/>
        <w:pageBreakBefore w:val="0"/>
        <w:widowControl/>
        <w:kinsoku w:val="0"/>
        <w:wordWrap/>
        <w:overflowPunct/>
        <w:topLinePunct w:val="0"/>
        <w:autoSpaceDE w:val="0"/>
        <w:autoSpaceDN w:val="0"/>
        <w:bidi w:val="0"/>
        <w:adjustRightInd/>
        <w:snapToGrid/>
        <w:spacing w:before="120" w:beforeLines="50" w:after="120" w:afterLines="50"/>
        <w:jc w:val="both"/>
        <w:textAlignment w:val="baseline"/>
        <w:outlineLvl w:val="1"/>
        <w:rPr>
          <w:rFonts w:hint="default" w:ascii="黑体" w:hAnsi="黑体" w:eastAsia="黑体" w:cs="黑体"/>
          <w:spacing w:val="-2"/>
          <w:sz w:val="28"/>
          <w:szCs w:val="28"/>
          <w:highlight w:val="none"/>
          <w:lang w:val="en-US" w:eastAsia="zh-CN"/>
        </w:rPr>
      </w:pPr>
      <w:bookmarkStart w:id="18" w:name="bookmark6"/>
      <w:bookmarkEnd w:id="18"/>
      <w:bookmarkStart w:id="19" w:name="_Toc25688"/>
      <w:r>
        <w:rPr>
          <w:rFonts w:hint="eastAsia" w:ascii="黑体" w:hAnsi="黑体" w:eastAsia="黑体" w:cs="黑体"/>
          <w:spacing w:val="-2"/>
          <w:sz w:val="28"/>
          <w:szCs w:val="28"/>
          <w:highlight w:val="none"/>
          <w:lang w:eastAsia="zh-CN"/>
        </w:rPr>
        <w:t>四、本科生生源质量</w:t>
      </w:r>
      <w:r>
        <w:rPr>
          <w:rFonts w:hint="eastAsia" w:ascii="黑体" w:hAnsi="黑体" w:eastAsia="黑体" w:cs="黑体"/>
          <w:spacing w:val="-2"/>
          <w:sz w:val="28"/>
          <w:szCs w:val="28"/>
          <w:highlight w:val="none"/>
          <w:lang w:val="en-US" w:eastAsia="zh-CN"/>
        </w:rPr>
        <w:t>情况</w:t>
      </w:r>
      <w:bookmarkEnd w:id="19"/>
    </w:p>
    <w:p w14:paraId="574FDE2F">
      <w:pPr>
        <w:spacing w:line="400" w:lineRule="exact"/>
        <w:ind w:firstLine="500" w:firstLineChars="200"/>
        <w:jc w:val="both"/>
        <w:rPr>
          <w:rFonts w:ascii="宋体" w:hAnsi="宋体" w:eastAsia="宋体" w:cs="宋体"/>
          <w:spacing w:val="5"/>
          <w:sz w:val="24"/>
          <w:szCs w:val="24"/>
          <w:highlight w:val="none"/>
          <w:lang w:eastAsia="zh-CN"/>
        </w:rPr>
      </w:pPr>
      <w:r>
        <w:rPr>
          <w:rFonts w:ascii="宋体" w:hAnsi="宋体" w:eastAsia="宋体" w:cs="宋体"/>
          <w:color w:val="auto"/>
          <w:spacing w:val="5"/>
          <w:sz w:val="24"/>
          <w:szCs w:val="24"/>
          <w:highlight w:val="none"/>
          <w:lang w:eastAsia="zh-CN"/>
        </w:rPr>
        <w:t>学校采取有力措施，不断加大招生宣传深度和广度，拓宽招生宣传渠道，规范</w:t>
      </w:r>
      <w:r>
        <w:rPr>
          <w:rFonts w:ascii="宋体" w:hAnsi="宋体" w:eastAsia="宋体" w:cs="宋体"/>
          <w:color w:val="auto"/>
          <w:spacing w:val="3"/>
          <w:sz w:val="24"/>
          <w:szCs w:val="24"/>
          <w:highlight w:val="none"/>
          <w:lang w:eastAsia="zh-CN"/>
        </w:rPr>
        <w:t>招生管理，进一步推行“</w:t>
      </w:r>
      <w:r>
        <w:rPr>
          <w:rFonts w:ascii="宋体" w:hAnsi="宋体" w:eastAsia="宋体" w:cs="宋体"/>
          <w:color w:val="auto"/>
          <w:spacing w:val="-82"/>
          <w:sz w:val="24"/>
          <w:szCs w:val="24"/>
          <w:highlight w:val="none"/>
          <w:lang w:eastAsia="zh-CN"/>
        </w:rPr>
        <w:t xml:space="preserve"> </w:t>
      </w:r>
      <w:r>
        <w:rPr>
          <w:rFonts w:ascii="宋体" w:hAnsi="宋体" w:eastAsia="宋体" w:cs="宋体"/>
          <w:color w:val="auto"/>
          <w:spacing w:val="3"/>
          <w:sz w:val="24"/>
          <w:szCs w:val="24"/>
          <w:highlight w:val="none"/>
          <w:lang w:eastAsia="zh-CN"/>
        </w:rPr>
        <w:t>阳光招生、诚信招生</w:t>
      </w:r>
      <w:r>
        <w:rPr>
          <w:rFonts w:ascii="宋体" w:hAnsi="宋体" w:eastAsia="宋体" w:cs="宋体"/>
          <w:color w:val="auto"/>
          <w:spacing w:val="-81"/>
          <w:sz w:val="24"/>
          <w:szCs w:val="24"/>
          <w:highlight w:val="none"/>
          <w:lang w:eastAsia="zh-CN"/>
        </w:rPr>
        <w:t xml:space="preserve"> </w:t>
      </w:r>
      <w:r>
        <w:rPr>
          <w:rFonts w:ascii="宋体" w:hAnsi="宋体" w:eastAsia="宋体" w:cs="宋体"/>
          <w:color w:val="auto"/>
          <w:spacing w:val="3"/>
          <w:sz w:val="24"/>
          <w:szCs w:val="24"/>
          <w:highlight w:val="none"/>
          <w:lang w:eastAsia="zh-CN"/>
        </w:rPr>
        <w:t>”工程，开创了招生工作新局面。</w:t>
      </w:r>
      <w:r>
        <w:rPr>
          <w:rFonts w:hint="eastAsia" w:ascii="宋体" w:hAnsi="宋体" w:eastAsia="宋体" w:cs="宋体"/>
          <w:color w:val="auto"/>
          <w:spacing w:val="3"/>
          <w:sz w:val="24"/>
          <w:szCs w:val="24"/>
          <w:highlight w:val="none"/>
          <w:lang w:eastAsia="zh-CN"/>
        </w:rPr>
        <w:t>自2015年招收本科生以来，投放各省本科计划均顺利完成，本科生报到率均保持在90%以上。</w:t>
      </w:r>
      <w:r>
        <w:rPr>
          <w:rFonts w:hint="eastAsia" w:ascii="宋体" w:hAnsi="宋体" w:eastAsia="宋体" w:cs="宋体"/>
          <w:color w:val="auto"/>
          <w:spacing w:val="5"/>
          <w:sz w:val="24"/>
          <w:szCs w:val="24"/>
          <w:highlight w:val="none"/>
          <w:lang w:eastAsia="zh-CN"/>
        </w:rPr>
        <w:t>202</w:t>
      </w:r>
      <w:r>
        <w:rPr>
          <w:rFonts w:hint="eastAsia" w:ascii="宋体" w:hAnsi="宋体" w:eastAsia="宋体" w:cs="宋体"/>
          <w:color w:val="auto"/>
          <w:spacing w:val="5"/>
          <w:sz w:val="24"/>
          <w:szCs w:val="24"/>
          <w:highlight w:val="none"/>
          <w:lang w:val="en-US" w:eastAsia="zh-CN"/>
        </w:rPr>
        <w:t>5</w:t>
      </w:r>
      <w:r>
        <w:rPr>
          <w:rFonts w:hint="eastAsia" w:ascii="宋体" w:hAnsi="宋体" w:eastAsia="宋体" w:cs="宋体"/>
          <w:color w:val="auto"/>
          <w:spacing w:val="5"/>
          <w:sz w:val="24"/>
          <w:szCs w:val="24"/>
          <w:highlight w:val="none"/>
          <w:lang w:eastAsia="zh-CN"/>
        </w:rPr>
        <w:t>年，</w:t>
      </w:r>
      <w:r>
        <w:rPr>
          <w:rFonts w:hint="eastAsia" w:ascii="宋体" w:hAnsi="宋体" w:eastAsia="宋体" w:cs="宋体"/>
          <w:color w:val="auto"/>
          <w:spacing w:val="5"/>
          <w:sz w:val="24"/>
          <w:szCs w:val="24"/>
          <w:highlight w:val="none"/>
          <w:lang w:val="en-US" w:eastAsia="zh-CN"/>
        </w:rPr>
        <w:t>学校</w:t>
      </w:r>
      <w:r>
        <w:rPr>
          <w:rFonts w:ascii="宋体" w:hAnsi="宋体" w:eastAsia="宋体" w:cs="宋体"/>
          <w:color w:val="auto"/>
          <w:spacing w:val="3"/>
          <w:sz w:val="24"/>
          <w:szCs w:val="24"/>
          <w:highlight w:val="none"/>
          <w:lang w:eastAsia="zh-CN"/>
        </w:rPr>
        <w:t>面向全国</w:t>
      </w:r>
      <w:r>
        <w:rPr>
          <w:rFonts w:hint="eastAsia" w:ascii="宋体" w:hAnsi="宋体" w:eastAsia="宋体" w:cs="宋体"/>
          <w:color w:val="auto"/>
          <w:spacing w:val="3"/>
          <w:sz w:val="24"/>
          <w:szCs w:val="24"/>
          <w:highlight w:val="none"/>
          <w:lang w:eastAsia="zh-CN"/>
        </w:rPr>
        <w:t>16</w:t>
      </w:r>
      <w:r>
        <w:rPr>
          <w:rFonts w:ascii="宋体" w:hAnsi="宋体" w:eastAsia="宋体" w:cs="宋体"/>
          <w:color w:val="auto"/>
          <w:spacing w:val="3"/>
          <w:sz w:val="24"/>
          <w:szCs w:val="24"/>
          <w:highlight w:val="none"/>
          <w:lang w:eastAsia="zh-CN"/>
        </w:rPr>
        <w:t>个省招生，</w:t>
      </w:r>
      <w:r>
        <w:rPr>
          <w:rFonts w:hint="eastAsia" w:ascii="宋体" w:hAnsi="宋体" w:eastAsia="宋体" w:cs="宋体"/>
          <w:color w:val="auto"/>
          <w:spacing w:val="5"/>
          <w:sz w:val="24"/>
          <w:szCs w:val="24"/>
          <w:highlight w:val="none"/>
          <w:lang w:eastAsia="zh-CN"/>
        </w:rPr>
        <w:t>本科招生（</w:t>
      </w:r>
      <w:r>
        <w:rPr>
          <w:rFonts w:hint="eastAsia" w:ascii="宋体" w:hAnsi="宋体" w:eastAsia="宋体" w:cs="宋体"/>
          <w:color w:val="auto"/>
          <w:spacing w:val="5"/>
          <w:sz w:val="24"/>
          <w:szCs w:val="24"/>
          <w:highlight w:val="none"/>
          <w:lang w:val="en-US" w:eastAsia="zh-CN"/>
        </w:rPr>
        <w:t>含专升本</w:t>
      </w:r>
      <w:r>
        <w:rPr>
          <w:rFonts w:hint="eastAsia" w:ascii="宋体" w:hAnsi="宋体" w:eastAsia="宋体" w:cs="宋体"/>
          <w:color w:val="auto"/>
          <w:spacing w:val="5"/>
          <w:sz w:val="24"/>
          <w:szCs w:val="24"/>
          <w:highlight w:val="none"/>
          <w:lang w:eastAsia="zh-CN"/>
        </w:rPr>
        <w:t>）计划</w:t>
      </w:r>
      <w:r>
        <w:rPr>
          <w:rFonts w:hint="eastAsia" w:ascii="宋体" w:hAnsi="宋体" w:eastAsia="宋体" w:cs="宋体"/>
          <w:color w:val="auto"/>
          <w:spacing w:val="5"/>
          <w:sz w:val="24"/>
          <w:szCs w:val="24"/>
          <w:highlight w:val="none"/>
          <w:lang w:val="en-US" w:eastAsia="zh-CN"/>
        </w:rPr>
        <w:t>2450</w:t>
      </w:r>
      <w:r>
        <w:rPr>
          <w:rFonts w:hint="eastAsia" w:ascii="宋体" w:hAnsi="宋体" w:eastAsia="宋体" w:cs="宋体"/>
          <w:color w:val="auto"/>
          <w:spacing w:val="5"/>
          <w:sz w:val="24"/>
          <w:szCs w:val="24"/>
          <w:highlight w:val="none"/>
          <w:lang w:eastAsia="zh-CN"/>
        </w:rPr>
        <w:t>人，</w:t>
      </w:r>
      <w:r>
        <w:rPr>
          <w:rFonts w:hint="eastAsia" w:ascii="宋体" w:hAnsi="宋体" w:eastAsia="宋体" w:cs="宋体"/>
          <w:color w:val="auto"/>
          <w:spacing w:val="5"/>
          <w:sz w:val="24"/>
          <w:szCs w:val="24"/>
          <w:highlight w:val="none"/>
          <w:lang w:val="en-US" w:eastAsia="zh-CN"/>
        </w:rPr>
        <w:t>录取2449人，</w:t>
      </w:r>
      <w:r>
        <w:rPr>
          <w:rFonts w:hint="eastAsia" w:ascii="宋体" w:hAnsi="宋体" w:eastAsia="宋体" w:cs="宋体"/>
          <w:color w:val="auto"/>
          <w:spacing w:val="5"/>
          <w:sz w:val="24"/>
          <w:szCs w:val="24"/>
          <w:highlight w:val="none"/>
          <w:lang w:eastAsia="zh-CN"/>
        </w:rPr>
        <w:t>报到</w:t>
      </w:r>
      <w:r>
        <w:rPr>
          <w:rFonts w:hint="eastAsia" w:ascii="宋体" w:hAnsi="宋体" w:eastAsia="宋体" w:cs="宋体"/>
          <w:color w:val="auto"/>
          <w:spacing w:val="5"/>
          <w:sz w:val="24"/>
          <w:szCs w:val="24"/>
          <w:highlight w:val="none"/>
          <w:lang w:val="en-US" w:eastAsia="zh-CN"/>
        </w:rPr>
        <w:t>2213</w:t>
      </w:r>
      <w:r>
        <w:rPr>
          <w:rFonts w:hint="eastAsia" w:ascii="宋体" w:hAnsi="宋体" w:eastAsia="宋体" w:cs="宋体"/>
          <w:color w:val="auto"/>
          <w:spacing w:val="5"/>
          <w:sz w:val="24"/>
          <w:szCs w:val="24"/>
          <w:highlight w:val="none"/>
          <w:lang w:eastAsia="zh-CN"/>
        </w:rPr>
        <w:t>人，本科报到率90.36%。其中省内录取1622人，报到1486人，省外录取827人，报到727人。学校生源情况详见表1-3。</w:t>
      </w:r>
    </w:p>
    <w:p w14:paraId="7D0953FA">
      <w:pPr>
        <w:spacing w:before="120" w:beforeLines="50"/>
        <w:ind w:firstLine="3108" w:firstLineChars="1400"/>
        <w:jc w:val="both"/>
        <w:rPr>
          <w:rFonts w:ascii="宋体" w:hAnsi="宋体" w:eastAsia="宋体" w:cs="宋体"/>
          <w:color w:val="auto"/>
          <w:highlight w:val="none"/>
          <w:lang w:eastAsia="zh-CN"/>
        </w:rPr>
      </w:pPr>
      <w:r>
        <w:rPr>
          <w:rFonts w:ascii="宋体" w:hAnsi="宋体" w:eastAsia="宋体" w:cs="宋体"/>
          <w:color w:val="auto"/>
          <w:spacing w:val="6"/>
          <w:highlight w:val="none"/>
        </w:rPr>
        <w:t>表</w:t>
      </w:r>
      <w:r>
        <w:rPr>
          <w:rFonts w:hint="eastAsia" w:ascii="宋体" w:hAnsi="宋体" w:eastAsia="宋体" w:cs="宋体"/>
          <w:color w:val="auto"/>
          <w:spacing w:val="6"/>
          <w:highlight w:val="none"/>
          <w:lang w:eastAsia="zh-CN"/>
        </w:rPr>
        <w:t>1-</w:t>
      </w:r>
      <w:r>
        <w:rPr>
          <w:rFonts w:ascii="宋体" w:hAnsi="宋体" w:eastAsia="宋体" w:cs="宋体"/>
          <w:color w:val="auto"/>
          <w:spacing w:val="6"/>
          <w:highlight w:val="none"/>
        </w:rPr>
        <w:t>3</w:t>
      </w:r>
      <w:r>
        <w:rPr>
          <w:rFonts w:hint="eastAsia" w:ascii="宋体" w:hAnsi="宋体" w:eastAsia="宋体" w:cs="宋体"/>
          <w:color w:val="auto"/>
          <w:spacing w:val="6"/>
          <w:highlight w:val="none"/>
          <w:lang w:eastAsia="zh-CN"/>
        </w:rPr>
        <w:t xml:space="preserve"> </w:t>
      </w:r>
      <w:r>
        <w:rPr>
          <w:rFonts w:hint="eastAsia" w:ascii="宋体" w:hAnsi="宋体" w:eastAsia="宋体" w:cs="宋体"/>
          <w:color w:val="auto"/>
          <w:spacing w:val="14"/>
          <w:highlight w:val="none"/>
          <w:lang w:eastAsia="zh-CN"/>
        </w:rPr>
        <w:t>学校</w:t>
      </w:r>
      <w:r>
        <w:rPr>
          <w:rFonts w:ascii="宋体" w:hAnsi="宋体" w:eastAsia="宋体" w:cs="宋体"/>
          <w:color w:val="auto"/>
          <w:spacing w:val="6"/>
          <w:highlight w:val="none"/>
        </w:rPr>
        <w:t>生源情况</w:t>
      </w:r>
      <w:r>
        <w:rPr>
          <w:rFonts w:hint="eastAsia" w:ascii="宋体" w:hAnsi="宋体" w:eastAsia="宋体" w:cs="宋体"/>
          <w:color w:val="auto"/>
          <w:spacing w:val="6"/>
          <w:highlight w:val="none"/>
          <w:lang w:eastAsia="zh-CN"/>
        </w:rPr>
        <w:t>一览表</w:t>
      </w:r>
    </w:p>
    <w:tbl>
      <w:tblPr>
        <w:tblStyle w:val="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92"/>
        <w:gridCol w:w="1305"/>
        <w:gridCol w:w="1160"/>
        <w:gridCol w:w="921"/>
        <w:gridCol w:w="1419"/>
        <w:gridCol w:w="1595"/>
        <w:gridCol w:w="1365"/>
      </w:tblGrid>
      <w:tr w14:paraId="767F5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blHeader/>
          <w:jc w:val="center"/>
        </w:trPr>
        <w:tc>
          <w:tcPr>
            <w:tcW w:w="713" w:type="pct"/>
            <w:vAlign w:val="center"/>
          </w:tcPr>
          <w:p w14:paraId="5F3BE3C8">
            <w:pPr>
              <w:jc w:val="center"/>
              <w:rPr>
                <w:rFonts w:ascii="宋体" w:hAnsi="宋体" w:eastAsia="宋体" w:cs="宋体"/>
                <w:color w:val="auto"/>
                <w:highlight w:val="none"/>
              </w:rPr>
            </w:pPr>
            <w:r>
              <w:rPr>
                <w:rFonts w:hint="eastAsia" w:ascii="宋体" w:hAnsi="宋体" w:eastAsia="宋体" w:cs="宋体"/>
                <w:b/>
                <w:color w:val="auto"/>
                <w:highlight w:val="none"/>
              </w:rPr>
              <w:t>省份</w:t>
            </w:r>
          </w:p>
        </w:tc>
        <w:tc>
          <w:tcPr>
            <w:tcW w:w="720" w:type="pct"/>
            <w:vAlign w:val="center"/>
          </w:tcPr>
          <w:p w14:paraId="6B179E85">
            <w:pPr>
              <w:jc w:val="center"/>
              <w:rPr>
                <w:rFonts w:ascii="宋体" w:hAnsi="宋体" w:eastAsia="宋体" w:cs="宋体"/>
                <w:color w:val="auto"/>
                <w:highlight w:val="none"/>
              </w:rPr>
            </w:pPr>
            <w:r>
              <w:rPr>
                <w:rFonts w:hint="eastAsia" w:ascii="宋体" w:hAnsi="宋体" w:eastAsia="宋体" w:cs="宋体"/>
                <w:b/>
                <w:color w:val="auto"/>
                <w:highlight w:val="none"/>
              </w:rPr>
              <w:t>批次</w:t>
            </w:r>
          </w:p>
        </w:tc>
        <w:tc>
          <w:tcPr>
            <w:tcW w:w="640" w:type="pct"/>
            <w:vAlign w:val="center"/>
          </w:tcPr>
          <w:p w14:paraId="733C8933">
            <w:pPr>
              <w:jc w:val="center"/>
              <w:rPr>
                <w:rFonts w:ascii="宋体" w:hAnsi="宋体" w:eastAsia="宋体" w:cs="宋体"/>
                <w:b/>
                <w:color w:val="auto"/>
                <w:highlight w:val="none"/>
              </w:rPr>
            </w:pPr>
            <w:r>
              <w:rPr>
                <w:rFonts w:hint="eastAsia" w:ascii="宋体" w:hAnsi="宋体" w:eastAsia="宋体" w:cs="宋体"/>
                <w:b/>
                <w:color w:val="auto"/>
                <w:highlight w:val="none"/>
              </w:rPr>
              <w:t>招生类型</w:t>
            </w:r>
          </w:p>
        </w:tc>
        <w:tc>
          <w:tcPr>
            <w:tcW w:w="508" w:type="pct"/>
            <w:vAlign w:val="center"/>
          </w:tcPr>
          <w:p w14:paraId="3B551298">
            <w:pPr>
              <w:jc w:val="center"/>
              <w:rPr>
                <w:rFonts w:ascii="宋体" w:hAnsi="宋体" w:eastAsia="宋体" w:cs="宋体"/>
                <w:b/>
                <w:color w:val="auto"/>
                <w:highlight w:val="none"/>
              </w:rPr>
            </w:pPr>
            <w:r>
              <w:rPr>
                <w:rFonts w:hint="eastAsia" w:ascii="宋体" w:hAnsi="宋体" w:eastAsia="宋体" w:cs="宋体"/>
                <w:b/>
                <w:color w:val="auto"/>
                <w:highlight w:val="none"/>
              </w:rPr>
              <w:t>录取数（人）</w:t>
            </w:r>
          </w:p>
        </w:tc>
        <w:tc>
          <w:tcPr>
            <w:tcW w:w="783" w:type="pct"/>
            <w:vAlign w:val="center"/>
          </w:tcPr>
          <w:p w14:paraId="68801A8E">
            <w:pPr>
              <w:jc w:val="cente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批次最低控制线（分）</w:t>
            </w:r>
          </w:p>
        </w:tc>
        <w:tc>
          <w:tcPr>
            <w:tcW w:w="880" w:type="pct"/>
            <w:vAlign w:val="center"/>
          </w:tcPr>
          <w:p w14:paraId="425EC0CC">
            <w:pPr>
              <w:jc w:val="center"/>
              <w:rPr>
                <w:rFonts w:ascii="宋体" w:hAnsi="宋体" w:eastAsia="宋体" w:cs="宋体"/>
                <w:b/>
                <w:color w:val="auto"/>
                <w:highlight w:val="none"/>
                <w:lang w:eastAsia="zh-CN"/>
              </w:rPr>
            </w:pPr>
            <w:r>
              <w:rPr>
                <w:rFonts w:hint="eastAsia" w:ascii="宋体" w:hAnsi="宋体" w:eastAsia="宋体" w:cs="宋体"/>
                <w:b/>
                <w:color w:val="auto"/>
                <w:highlight w:val="none"/>
                <w:lang w:eastAsia="zh-CN"/>
              </w:rPr>
              <w:t>当年录取平均分数（分）</w:t>
            </w:r>
          </w:p>
        </w:tc>
        <w:tc>
          <w:tcPr>
            <w:tcW w:w="753" w:type="pct"/>
            <w:vAlign w:val="center"/>
          </w:tcPr>
          <w:p w14:paraId="0F538CA2">
            <w:pPr>
              <w:jc w:val="center"/>
              <w:rPr>
                <w:rFonts w:ascii="宋体" w:hAnsi="宋体" w:eastAsia="宋体" w:cs="宋体"/>
                <w:b/>
                <w:color w:val="auto"/>
                <w:highlight w:val="none"/>
              </w:rPr>
            </w:pPr>
            <w:r>
              <w:rPr>
                <w:rFonts w:hint="eastAsia" w:ascii="宋体" w:hAnsi="宋体" w:eastAsia="宋体" w:cs="宋体"/>
                <w:b/>
                <w:color w:val="auto"/>
                <w:highlight w:val="none"/>
              </w:rPr>
              <w:t>平均分与控制线差值</w:t>
            </w:r>
          </w:p>
        </w:tc>
      </w:tr>
      <w:tr w14:paraId="7ABED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304178A4">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河北省</w:t>
            </w:r>
          </w:p>
        </w:tc>
        <w:tc>
          <w:tcPr>
            <w:tcW w:w="1305" w:type="dxa"/>
            <w:vAlign w:val="bottom"/>
          </w:tcPr>
          <w:p w14:paraId="3B42B50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本科批招生</w:t>
            </w:r>
          </w:p>
        </w:tc>
        <w:tc>
          <w:tcPr>
            <w:tcW w:w="1160" w:type="dxa"/>
            <w:vAlign w:val="bottom"/>
          </w:tcPr>
          <w:p w14:paraId="52A39E0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物理</w:t>
            </w:r>
          </w:p>
        </w:tc>
        <w:tc>
          <w:tcPr>
            <w:tcW w:w="921" w:type="dxa"/>
            <w:vAlign w:val="bottom"/>
          </w:tcPr>
          <w:p w14:paraId="6ED345E2">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34</w:t>
            </w:r>
          </w:p>
        </w:tc>
        <w:tc>
          <w:tcPr>
            <w:tcW w:w="1419" w:type="dxa"/>
            <w:vAlign w:val="bottom"/>
          </w:tcPr>
          <w:p w14:paraId="266A443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459</w:t>
            </w:r>
          </w:p>
        </w:tc>
        <w:tc>
          <w:tcPr>
            <w:tcW w:w="1595" w:type="dxa"/>
            <w:vAlign w:val="bottom"/>
          </w:tcPr>
          <w:p w14:paraId="76AFB60B">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496.29</w:t>
            </w:r>
          </w:p>
        </w:tc>
        <w:tc>
          <w:tcPr>
            <w:tcW w:w="1365" w:type="dxa"/>
            <w:vAlign w:val="bottom"/>
          </w:tcPr>
          <w:p w14:paraId="2487AB3F">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37.3</w:t>
            </w:r>
          </w:p>
        </w:tc>
      </w:tr>
      <w:tr w14:paraId="55118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3514FC4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河北省</w:t>
            </w:r>
          </w:p>
        </w:tc>
        <w:tc>
          <w:tcPr>
            <w:tcW w:w="1305" w:type="dxa"/>
            <w:vAlign w:val="bottom"/>
          </w:tcPr>
          <w:p w14:paraId="3BA6B1D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本科批招生</w:t>
            </w:r>
          </w:p>
        </w:tc>
        <w:tc>
          <w:tcPr>
            <w:tcW w:w="1160" w:type="dxa"/>
            <w:vAlign w:val="bottom"/>
          </w:tcPr>
          <w:p w14:paraId="2B9B9D7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历史</w:t>
            </w:r>
          </w:p>
        </w:tc>
        <w:tc>
          <w:tcPr>
            <w:tcW w:w="921" w:type="dxa"/>
            <w:vAlign w:val="bottom"/>
          </w:tcPr>
          <w:p w14:paraId="44CD6E9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10</w:t>
            </w:r>
          </w:p>
        </w:tc>
        <w:tc>
          <w:tcPr>
            <w:tcW w:w="1419" w:type="dxa"/>
            <w:vAlign w:val="bottom"/>
          </w:tcPr>
          <w:p w14:paraId="2E27703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477</w:t>
            </w:r>
          </w:p>
        </w:tc>
        <w:tc>
          <w:tcPr>
            <w:tcW w:w="1595" w:type="dxa"/>
            <w:vAlign w:val="bottom"/>
          </w:tcPr>
          <w:p w14:paraId="5D3E1C2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503.5</w:t>
            </w:r>
          </w:p>
        </w:tc>
        <w:tc>
          <w:tcPr>
            <w:tcW w:w="1365" w:type="dxa"/>
            <w:vAlign w:val="bottom"/>
          </w:tcPr>
          <w:p w14:paraId="5E50C6A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26.5</w:t>
            </w:r>
          </w:p>
        </w:tc>
      </w:tr>
      <w:tr w14:paraId="617BB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6FC8461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山西省</w:t>
            </w:r>
          </w:p>
        </w:tc>
        <w:tc>
          <w:tcPr>
            <w:tcW w:w="1305" w:type="dxa"/>
            <w:vAlign w:val="bottom"/>
          </w:tcPr>
          <w:p w14:paraId="39E54373">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7527CEE8">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195F9E3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50</w:t>
            </w:r>
          </w:p>
        </w:tc>
        <w:tc>
          <w:tcPr>
            <w:tcW w:w="1419" w:type="dxa"/>
            <w:vAlign w:val="bottom"/>
          </w:tcPr>
          <w:p w14:paraId="39BA7FF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419</w:t>
            </w:r>
          </w:p>
        </w:tc>
        <w:tc>
          <w:tcPr>
            <w:tcW w:w="1595" w:type="dxa"/>
            <w:vAlign w:val="bottom"/>
          </w:tcPr>
          <w:p w14:paraId="4576C25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427.22</w:t>
            </w:r>
          </w:p>
        </w:tc>
        <w:tc>
          <w:tcPr>
            <w:tcW w:w="1365" w:type="dxa"/>
            <w:vAlign w:val="bottom"/>
          </w:tcPr>
          <w:p w14:paraId="5451B8F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8.2</w:t>
            </w:r>
          </w:p>
        </w:tc>
      </w:tr>
      <w:tr w14:paraId="43F65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28837E4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山西省</w:t>
            </w:r>
          </w:p>
        </w:tc>
        <w:tc>
          <w:tcPr>
            <w:tcW w:w="1305" w:type="dxa"/>
            <w:vAlign w:val="bottom"/>
          </w:tcPr>
          <w:p w14:paraId="7BF12B9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7E21B8A7">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368F186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10</w:t>
            </w:r>
          </w:p>
        </w:tc>
        <w:tc>
          <w:tcPr>
            <w:tcW w:w="1419" w:type="dxa"/>
            <w:vAlign w:val="bottom"/>
          </w:tcPr>
          <w:p w14:paraId="1F0279E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443</w:t>
            </w:r>
          </w:p>
        </w:tc>
        <w:tc>
          <w:tcPr>
            <w:tcW w:w="1595" w:type="dxa"/>
            <w:vAlign w:val="bottom"/>
          </w:tcPr>
          <w:p w14:paraId="1FC956D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447.7</w:t>
            </w:r>
          </w:p>
        </w:tc>
        <w:tc>
          <w:tcPr>
            <w:tcW w:w="1365" w:type="dxa"/>
            <w:vAlign w:val="bottom"/>
          </w:tcPr>
          <w:p w14:paraId="45BECDA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4.7</w:t>
            </w:r>
          </w:p>
        </w:tc>
      </w:tr>
      <w:tr w14:paraId="4922D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91" w:type="dxa"/>
            <w:vAlign w:val="bottom"/>
          </w:tcPr>
          <w:p w14:paraId="70935D3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辽宁省</w:t>
            </w:r>
          </w:p>
        </w:tc>
        <w:tc>
          <w:tcPr>
            <w:tcW w:w="1305" w:type="dxa"/>
            <w:vAlign w:val="bottom"/>
          </w:tcPr>
          <w:p w14:paraId="5E01A775">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4DC6240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42DBFEE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62</w:t>
            </w:r>
          </w:p>
        </w:tc>
        <w:tc>
          <w:tcPr>
            <w:tcW w:w="1419" w:type="dxa"/>
            <w:vAlign w:val="bottom"/>
          </w:tcPr>
          <w:p w14:paraId="19035AA5">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367</w:t>
            </w:r>
          </w:p>
        </w:tc>
        <w:tc>
          <w:tcPr>
            <w:tcW w:w="1595" w:type="dxa"/>
            <w:vAlign w:val="bottom"/>
          </w:tcPr>
          <w:p w14:paraId="669F22C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441</w:t>
            </w:r>
          </w:p>
        </w:tc>
        <w:tc>
          <w:tcPr>
            <w:tcW w:w="1365" w:type="dxa"/>
            <w:vAlign w:val="bottom"/>
          </w:tcPr>
          <w:p w14:paraId="3D66FB2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74.0</w:t>
            </w:r>
          </w:p>
        </w:tc>
      </w:tr>
      <w:tr w14:paraId="464E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8" w:hRule="atLeast"/>
          <w:jc w:val="center"/>
        </w:trPr>
        <w:tc>
          <w:tcPr>
            <w:tcW w:w="1291" w:type="dxa"/>
            <w:vAlign w:val="bottom"/>
          </w:tcPr>
          <w:p w14:paraId="110DD445">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辽宁省</w:t>
            </w:r>
          </w:p>
        </w:tc>
        <w:tc>
          <w:tcPr>
            <w:tcW w:w="1305" w:type="dxa"/>
            <w:vAlign w:val="bottom"/>
          </w:tcPr>
          <w:p w14:paraId="10FCA1E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5BE4B3C3">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1B3E127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w:t>
            </w:r>
          </w:p>
        </w:tc>
        <w:tc>
          <w:tcPr>
            <w:tcW w:w="1419" w:type="dxa"/>
            <w:vAlign w:val="bottom"/>
          </w:tcPr>
          <w:p w14:paraId="679DDE4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437</w:t>
            </w:r>
          </w:p>
        </w:tc>
        <w:tc>
          <w:tcPr>
            <w:tcW w:w="1595" w:type="dxa"/>
            <w:vAlign w:val="bottom"/>
          </w:tcPr>
          <w:p w14:paraId="3F62F02E">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460.38</w:t>
            </w:r>
          </w:p>
        </w:tc>
        <w:tc>
          <w:tcPr>
            <w:tcW w:w="1365" w:type="dxa"/>
            <w:vAlign w:val="bottom"/>
          </w:tcPr>
          <w:p w14:paraId="3A6199D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23.4</w:t>
            </w:r>
          </w:p>
        </w:tc>
      </w:tr>
      <w:tr w14:paraId="7375C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1E94D9E7">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吉林省</w:t>
            </w:r>
          </w:p>
        </w:tc>
        <w:tc>
          <w:tcPr>
            <w:tcW w:w="1305" w:type="dxa"/>
            <w:vAlign w:val="bottom"/>
          </w:tcPr>
          <w:p w14:paraId="77507360">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55E7AF8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0F2AA86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w:t>
            </w:r>
          </w:p>
        </w:tc>
        <w:tc>
          <w:tcPr>
            <w:tcW w:w="1419" w:type="dxa"/>
            <w:vAlign w:val="bottom"/>
          </w:tcPr>
          <w:p w14:paraId="6CEAB40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340</w:t>
            </w:r>
          </w:p>
        </w:tc>
        <w:tc>
          <w:tcPr>
            <w:tcW w:w="1595" w:type="dxa"/>
            <w:vAlign w:val="bottom"/>
          </w:tcPr>
          <w:p w14:paraId="69979A1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406.75</w:t>
            </w:r>
          </w:p>
        </w:tc>
        <w:tc>
          <w:tcPr>
            <w:tcW w:w="1365" w:type="dxa"/>
            <w:vAlign w:val="bottom"/>
          </w:tcPr>
          <w:p w14:paraId="1907CDF3">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66.8</w:t>
            </w:r>
          </w:p>
        </w:tc>
      </w:tr>
      <w:tr w14:paraId="7115F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26430D33">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吉林省</w:t>
            </w:r>
          </w:p>
        </w:tc>
        <w:tc>
          <w:tcPr>
            <w:tcW w:w="1305" w:type="dxa"/>
            <w:vAlign w:val="bottom"/>
          </w:tcPr>
          <w:p w14:paraId="1BECE9FA">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6D805A8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798A265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w:t>
            </w:r>
          </w:p>
        </w:tc>
        <w:tc>
          <w:tcPr>
            <w:tcW w:w="1419" w:type="dxa"/>
            <w:vAlign w:val="bottom"/>
          </w:tcPr>
          <w:p w14:paraId="4FC688C4">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384</w:t>
            </w:r>
          </w:p>
        </w:tc>
        <w:tc>
          <w:tcPr>
            <w:tcW w:w="1595" w:type="dxa"/>
            <w:vAlign w:val="bottom"/>
          </w:tcPr>
          <w:p w14:paraId="4C776D6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449.5</w:t>
            </w:r>
          </w:p>
        </w:tc>
        <w:tc>
          <w:tcPr>
            <w:tcW w:w="1365" w:type="dxa"/>
            <w:vAlign w:val="bottom"/>
          </w:tcPr>
          <w:p w14:paraId="48653D5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65.5</w:t>
            </w:r>
          </w:p>
        </w:tc>
      </w:tr>
      <w:tr w14:paraId="3A59D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4A6657B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黑龙江省</w:t>
            </w:r>
          </w:p>
        </w:tc>
        <w:tc>
          <w:tcPr>
            <w:tcW w:w="1305" w:type="dxa"/>
            <w:vAlign w:val="bottom"/>
          </w:tcPr>
          <w:p w14:paraId="7BE2A25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39DAF01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1D5FA9A3">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55</w:t>
            </w:r>
          </w:p>
        </w:tc>
        <w:tc>
          <w:tcPr>
            <w:tcW w:w="1419" w:type="dxa"/>
            <w:vAlign w:val="bottom"/>
          </w:tcPr>
          <w:p w14:paraId="43BC54C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360</w:t>
            </w:r>
          </w:p>
        </w:tc>
        <w:tc>
          <w:tcPr>
            <w:tcW w:w="1595" w:type="dxa"/>
            <w:vAlign w:val="bottom"/>
          </w:tcPr>
          <w:p w14:paraId="0C3EBF85">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379.6</w:t>
            </w:r>
          </w:p>
        </w:tc>
        <w:tc>
          <w:tcPr>
            <w:tcW w:w="1365" w:type="dxa"/>
            <w:vAlign w:val="bottom"/>
          </w:tcPr>
          <w:p w14:paraId="6D7FFCD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19.6</w:t>
            </w:r>
          </w:p>
        </w:tc>
      </w:tr>
      <w:tr w14:paraId="25571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7FF31F7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黑龙江省</w:t>
            </w:r>
          </w:p>
        </w:tc>
        <w:tc>
          <w:tcPr>
            <w:tcW w:w="1305" w:type="dxa"/>
            <w:vAlign w:val="bottom"/>
          </w:tcPr>
          <w:p w14:paraId="041DEAF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6A0F726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5B99901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15</w:t>
            </w:r>
          </w:p>
        </w:tc>
        <w:tc>
          <w:tcPr>
            <w:tcW w:w="1419" w:type="dxa"/>
            <w:vAlign w:val="bottom"/>
          </w:tcPr>
          <w:p w14:paraId="05CDBB8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405</w:t>
            </w:r>
          </w:p>
        </w:tc>
        <w:tc>
          <w:tcPr>
            <w:tcW w:w="1595" w:type="dxa"/>
            <w:vAlign w:val="bottom"/>
          </w:tcPr>
          <w:p w14:paraId="19496F3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412.27</w:t>
            </w:r>
          </w:p>
        </w:tc>
        <w:tc>
          <w:tcPr>
            <w:tcW w:w="1365" w:type="dxa"/>
            <w:vAlign w:val="bottom"/>
          </w:tcPr>
          <w:p w14:paraId="7678865C">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7.3</w:t>
            </w:r>
          </w:p>
        </w:tc>
      </w:tr>
      <w:tr w14:paraId="71661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4BF46A15">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江苏省</w:t>
            </w:r>
          </w:p>
        </w:tc>
        <w:tc>
          <w:tcPr>
            <w:tcW w:w="1305" w:type="dxa"/>
            <w:vAlign w:val="bottom"/>
          </w:tcPr>
          <w:p w14:paraId="5351954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15E9637F">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0A6F2DFC">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38</w:t>
            </w:r>
          </w:p>
        </w:tc>
        <w:tc>
          <w:tcPr>
            <w:tcW w:w="1419" w:type="dxa"/>
            <w:vAlign w:val="bottom"/>
          </w:tcPr>
          <w:p w14:paraId="5426827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463</w:t>
            </w:r>
          </w:p>
        </w:tc>
        <w:tc>
          <w:tcPr>
            <w:tcW w:w="1595" w:type="dxa"/>
            <w:vAlign w:val="bottom"/>
          </w:tcPr>
          <w:p w14:paraId="0C19D3F5">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478.66</w:t>
            </w:r>
          </w:p>
        </w:tc>
        <w:tc>
          <w:tcPr>
            <w:tcW w:w="1365" w:type="dxa"/>
            <w:vAlign w:val="bottom"/>
          </w:tcPr>
          <w:p w14:paraId="613465FA">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15.7</w:t>
            </w:r>
          </w:p>
        </w:tc>
      </w:tr>
      <w:tr w14:paraId="37829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29EB287D">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江苏省</w:t>
            </w:r>
          </w:p>
        </w:tc>
        <w:tc>
          <w:tcPr>
            <w:tcW w:w="1305" w:type="dxa"/>
            <w:vAlign w:val="bottom"/>
          </w:tcPr>
          <w:p w14:paraId="791885E1">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75A20A8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031F58E3">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22</w:t>
            </w:r>
          </w:p>
        </w:tc>
        <w:tc>
          <w:tcPr>
            <w:tcW w:w="1419" w:type="dxa"/>
            <w:vAlign w:val="bottom"/>
          </w:tcPr>
          <w:p w14:paraId="6799B2D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482</w:t>
            </w:r>
          </w:p>
        </w:tc>
        <w:tc>
          <w:tcPr>
            <w:tcW w:w="1595" w:type="dxa"/>
            <w:vAlign w:val="bottom"/>
          </w:tcPr>
          <w:p w14:paraId="774FADA3">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497.5</w:t>
            </w:r>
          </w:p>
        </w:tc>
        <w:tc>
          <w:tcPr>
            <w:tcW w:w="1365" w:type="dxa"/>
            <w:vAlign w:val="bottom"/>
          </w:tcPr>
          <w:p w14:paraId="5D00E907">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15.5</w:t>
            </w:r>
          </w:p>
        </w:tc>
      </w:tr>
      <w:tr w14:paraId="14CA9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291" w:type="dxa"/>
            <w:vAlign w:val="bottom"/>
          </w:tcPr>
          <w:p w14:paraId="69E18104">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浙江省</w:t>
            </w:r>
          </w:p>
        </w:tc>
        <w:tc>
          <w:tcPr>
            <w:tcW w:w="1305" w:type="dxa"/>
            <w:vAlign w:val="bottom"/>
          </w:tcPr>
          <w:p w14:paraId="753AEDC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0D342A3A">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不分文理</w:t>
            </w:r>
          </w:p>
        </w:tc>
        <w:tc>
          <w:tcPr>
            <w:tcW w:w="921" w:type="dxa"/>
            <w:vAlign w:val="bottom"/>
          </w:tcPr>
          <w:p w14:paraId="3246ED9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20</w:t>
            </w:r>
          </w:p>
        </w:tc>
        <w:tc>
          <w:tcPr>
            <w:tcW w:w="1419" w:type="dxa"/>
            <w:vAlign w:val="bottom"/>
          </w:tcPr>
          <w:p w14:paraId="44E4442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490</w:t>
            </w:r>
          </w:p>
        </w:tc>
        <w:tc>
          <w:tcPr>
            <w:tcW w:w="1595" w:type="dxa"/>
            <w:vAlign w:val="bottom"/>
          </w:tcPr>
          <w:p w14:paraId="14844DB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499</w:t>
            </w:r>
          </w:p>
        </w:tc>
        <w:tc>
          <w:tcPr>
            <w:tcW w:w="1365" w:type="dxa"/>
            <w:vAlign w:val="bottom"/>
          </w:tcPr>
          <w:p w14:paraId="70D5456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9.0</w:t>
            </w:r>
          </w:p>
        </w:tc>
      </w:tr>
      <w:tr w14:paraId="111AF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1291" w:type="dxa"/>
            <w:vAlign w:val="bottom"/>
          </w:tcPr>
          <w:p w14:paraId="67E592C8">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安徽省</w:t>
            </w:r>
          </w:p>
        </w:tc>
        <w:tc>
          <w:tcPr>
            <w:tcW w:w="1305" w:type="dxa"/>
            <w:vAlign w:val="bottom"/>
          </w:tcPr>
          <w:p w14:paraId="04F13EB4">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5D0C76B3">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170DAF8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30</w:t>
            </w:r>
          </w:p>
        </w:tc>
        <w:tc>
          <w:tcPr>
            <w:tcW w:w="1419" w:type="dxa"/>
            <w:vAlign w:val="bottom"/>
          </w:tcPr>
          <w:p w14:paraId="1F745E8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461</w:t>
            </w:r>
          </w:p>
        </w:tc>
        <w:tc>
          <w:tcPr>
            <w:tcW w:w="1595" w:type="dxa"/>
            <w:vAlign w:val="bottom"/>
          </w:tcPr>
          <w:p w14:paraId="4476748F">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478.63</w:t>
            </w:r>
          </w:p>
        </w:tc>
        <w:tc>
          <w:tcPr>
            <w:tcW w:w="1365" w:type="dxa"/>
            <w:vAlign w:val="bottom"/>
          </w:tcPr>
          <w:p w14:paraId="1442632A">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17.6</w:t>
            </w:r>
          </w:p>
        </w:tc>
      </w:tr>
      <w:tr w14:paraId="393A5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291" w:type="dxa"/>
            <w:vAlign w:val="bottom"/>
          </w:tcPr>
          <w:p w14:paraId="40BD4F0C">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安徽省</w:t>
            </w:r>
          </w:p>
        </w:tc>
        <w:tc>
          <w:tcPr>
            <w:tcW w:w="1305" w:type="dxa"/>
            <w:vAlign w:val="bottom"/>
          </w:tcPr>
          <w:p w14:paraId="14AE3818">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608A5C4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1EF1921E">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10</w:t>
            </w:r>
          </w:p>
        </w:tc>
        <w:tc>
          <w:tcPr>
            <w:tcW w:w="1419" w:type="dxa"/>
            <w:vAlign w:val="bottom"/>
          </w:tcPr>
          <w:p w14:paraId="0BF4725C">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477</w:t>
            </w:r>
          </w:p>
        </w:tc>
        <w:tc>
          <w:tcPr>
            <w:tcW w:w="1595" w:type="dxa"/>
            <w:vAlign w:val="bottom"/>
          </w:tcPr>
          <w:p w14:paraId="4A935C0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485.4</w:t>
            </w:r>
          </w:p>
        </w:tc>
        <w:tc>
          <w:tcPr>
            <w:tcW w:w="1365" w:type="dxa"/>
            <w:vAlign w:val="bottom"/>
          </w:tcPr>
          <w:p w14:paraId="07FC2F8E">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8.4</w:t>
            </w:r>
          </w:p>
        </w:tc>
      </w:tr>
      <w:tr w14:paraId="2A684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jc w:val="center"/>
        </w:trPr>
        <w:tc>
          <w:tcPr>
            <w:tcW w:w="1291" w:type="dxa"/>
            <w:vAlign w:val="bottom"/>
          </w:tcPr>
          <w:p w14:paraId="7E4F034C">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山东省</w:t>
            </w:r>
          </w:p>
        </w:tc>
        <w:tc>
          <w:tcPr>
            <w:tcW w:w="1305" w:type="dxa"/>
            <w:vAlign w:val="bottom"/>
          </w:tcPr>
          <w:p w14:paraId="14F61821">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5AAF5108">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不分文理</w:t>
            </w:r>
          </w:p>
        </w:tc>
        <w:tc>
          <w:tcPr>
            <w:tcW w:w="921" w:type="dxa"/>
            <w:vAlign w:val="bottom"/>
          </w:tcPr>
          <w:p w14:paraId="156B36C2">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580</w:t>
            </w:r>
          </w:p>
        </w:tc>
        <w:tc>
          <w:tcPr>
            <w:tcW w:w="1419" w:type="dxa"/>
            <w:vAlign w:val="bottom"/>
          </w:tcPr>
          <w:p w14:paraId="25CEDA95">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441</w:t>
            </w:r>
          </w:p>
        </w:tc>
        <w:tc>
          <w:tcPr>
            <w:tcW w:w="1595" w:type="dxa"/>
            <w:vAlign w:val="bottom"/>
          </w:tcPr>
          <w:p w14:paraId="34031103">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460.79</w:t>
            </w:r>
          </w:p>
        </w:tc>
        <w:tc>
          <w:tcPr>
            <w:tcW w:w="1365" w:type="dxa"/>
            <w:vAlign w:val="bottom"/>
          </w:tcPr>
          <w:p w14:paraId="19DB7FE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19.8</w:t>
            </w:r>
          </w:p>
        </w:tc>
      </w:tr>
      <w:tr w14:paraId="61E80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1897E2B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河南省</w:t>
            </w:r>
          </w:p>
        </w:tc>
        <w:tc>
          <w:tcPr>
            <w:tcW w:w="1305" w:type="dxa"/>
            <w:vAlign w:val="bottom"/>
          </w:tcPr>
          <w:p w14:paraId="3B8BB79D">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74A1E6A5">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227C08E3">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80</w:t>
            </w:r>
          </w:p>
        </w:tc>
        <w:tc>
          <w:tcPr>
            <w:tcW w:w="1419" w:type="dxa"/>
            <w:vAlign w:val="bottom"/>
          </w:tcPr>
          <w:p w14:paraId="4CA32FB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427</w:t>
            </w:r>
          </w:p>
        </w:tc>
        <w:tc>
          <w:tcPr>
            <w:tcW w:w="1595" w:type="dxa"/>
            <w:vAlign w:val="bottom"/>
          </w:tcPr>
          <w:p w14:paraId="60AEF80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453.51</w:t>
            </w:r>
          </w:p>
        </w:tc>
        <w:tc>
          <w:tcPr>
            <w:tcW w:w="1365" w:type="dxa"/>
            <w:vAlign w:val="bottom"/>
          </w:tcPr>
          <w:p w14:paraId="57B0136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26.5</w:t>
            </w:r>
          </w:p>
        </w:tc>
      </w:tr>
      <w:tr w14:paraId="67D7B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3C436DB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河南省</w:t>
            </w:r>
          </w:p>
        </w:tc>
        <w:tc>
          <w:tcPr>
            <w:tcW w:w="1305" w:type="dxa"/>
            <w:vAlign w:val="bottom"/>
          </w:tcPr>
          <w:p w14:paraId="5F5F0FC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718E5AF0">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0C75F3B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16</w:t>
            </w:r>
          </w:p>
        </w:tc>
        <w:tc>
          <w:tcPr>
            <w:tcW w:w="1419" w:type="dxa"/>
            <w:vAlign w:val="bottom"/>
          </w:tcPr>
          <w:p w14:paraId="53829D0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471</w:t>
            </w:r>
          </w:p>
        </w:tc>
        <w:tc>
          <w:tcPr>
            <w:tcW w:w="1595" w:type="dxa"/>
            <w:vAlign w:val="bottom"/>
          </w:tcPr>
          <w:p w14:paraId="0C89902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481.38</w:t>
            </w:r>
          </w:p>
        </w:tc>
        <w:tc>
          <w:tcPr>
            <w:tcW w:w="1365" w:type="dxa"/>
            <w:vAlign w:val="bottom"/>
          </w:tcPr>
          <w:p w14:paraId="531C999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10.4</w:t>
            </w:r>
          </w:p>
        </w:tc>
      </w:tr>
      <w:tr w14:paraId="192C3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020D647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重庆市</w:t>
            </w:r>
          </w:p>
        </w:tc>
        <w:tc>
          <w:tcPr>
            <w:tcW w:w="1305" w:type="dxa"/>
            <w:vAlign w:val="bottom"/>
          </w:tcPr>
          <w:p w14:paraId="33CFFF1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308D5B9C">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3036165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32</w:t>
            </w:r>
          </w:p>
        </w:tc>
        <w:tc>
          <w:tcPr>
            <w:tcW w:w="1419" w:type="dxa"/>
            <w:vAlign w:val="bottom"/>
          </w:tcPr>
          <w:p w14:paraId="693B0EB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425</w:t>
            </w:r>
          </w:p>
        </w:tc>
        <w:tc>
          <w:tcPr>
            <w:tcW w:w="1595" w:type="dxa"/>
            <w:vAlign w:val="bottom"/>
          </w:tcPr>
          <w:p w14:paraId="0472C80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460.13</w:t>
            </w:r>
          </w:p>
        </w:tc>
        <w:tc>
          <w:tcPr>
            <w:tcW w:w="1365" w:type="dxa"/>
            <w:vAlign w:val="bottom"/>
          </w:tcPr>
          <w:p w14:paraId="29A005E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35.1</w:t>
            </w:r>
          </w:p>
        </w:tc>
      </w:tr>
      <w:tr w14:paraId="1FDF0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4284211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重庆市</w:t>
            </w:r>
          </w:p>
        </w:tc>
        <w:tc>
          <w:tcPr>
            <w:tcW w:w="1305" w:type="dxa"/>
            <w:vAlign w:val="bottom"/>
          </w:tcPr>
          <w:p w14:paraId="5BF60F0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6611B377">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11297BE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w:t>
            </w:r>
          </w:p>
        </w:tc>
        <w:tc>
          <w:tcPr>
            <w:tcW w:w="1419" w:type="dxa"/>
            <w:vAlign w:val="bottom"/>
          </w:tcPr>
          <w:p w14:paraId="3F6F262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438</w:t>
            </w:r>
          </w:p>
        </w:tc>
        <w:tc>
          <w:tcPr>
            <w:tcW w:w="1595" w:type="dxa"/>
            <w:vAlign w:val="bottom"/>
          </w:tcPr>
          <w:p w14:paraId="2B1E3B9E">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458.25</w:t>
            </w:r>
          </w:p>
        </w:tc>
        <w:tc>
          <w:tcPr>
            <w:tcW w:w="1365" w:type="dxa"/>
            <w:vAlign w:val="bottom"/>
          </w:tcPr>
          <w:p w14:paraId="6E480FA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20.3</w:t>
            </w:r>
          </w:p>
        </w:tc>
      </w:tr>
      <w:tr w14:paraId="2B138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291" w:type="dxa"/>
            <w:vAlign w:val="bottom"/>
          </w:tcPr>
          <w:p w14:paraId="49D56C5D">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四川省</w:t>
            </w:r>
          </w:p>
        </w:tc>
        <w:tc>
          <w:tcPr>
            <w:tcW w:w="1305" w:type="dxa"/>
            <w:vAlign w:val="bottom"/>
          </w:tcPr>
          <w:p w14:paraId="0A02C2A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23721B0F">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7BBA67A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124</w:t>
            </w:r>
          </w:p>
        </w:tc>
        <w:tc>
          <w:tcPr>
            <w:tcW w:w="1419" w:type="dxa"/>
            <w:vAlign w:val="bottom"/>
          </w:tcPr>
          <w:p w14:paraId="4538BB8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438</w:t>
            </w:r>
          </w:p>
        </w:tc>
        <w:tc>
          <w:tcPr>
            <w:tcW w:w="1595" w:type="dxa"/>
            <w:vAlign w:val="bottom"/>
          </w:tcPr>
          <w:p w14:paraId="5BC78C4B">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452.65</w:t>
            </w:r>
          </w:p>
        </w:tc>
        <w:tc>
          <w:tcPr>
            <w:tcW w:w="1365" w:type="dxa"/>
            <w:vAlign w:val="bottom"/>
          </w:tcPr>
          <w:p w14:paraId="3BF7F825">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14.7</w:t>
            </w:r>
          </w:p>
        </w:tc>
      </w:tr>
      <w:tr w14:paraId="3D383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6365633A">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四川省</w:t>
            </w:r>
          </w:p>
        </w:tc>
        <w:tc>
          <w:tcPr>
            <w:tcW w:w="1305" w:type="dxa"/>
            <w:vAlign w:val="bottom"/>
          </w:tcPr>
          <w:p w14:paraId="1A80344C">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053337E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557B117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18</w:t>
            </w:r>
          </w:p>
        </w:tc>
        <w:tc>
          <w:tcPr>
            <w:tcW w:w="1419" w:type="dxa"/>
            <w:vAlign w:val="bottom"/>
          </w:tcPr>
          <w:p w14:paraId="06E7BB3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467</w:t>
            </w:r>
          </w:p>
        </w:tc>
        <w:tc>
          <w:tcPr>
            <w:tcW w:w="1595" w:type="dxa"/>
            <w:vAlign w:val="bottom"/>
          </w:tcPr>
          <w:p w14:paraId="682C892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492.94</w:t>
            </w:r>
          </w:p>
        </w:tc>
        <w:tc>
          <w:tcPr>
            <w:tcW w:w="1365" w:type="dxa"/>
            <w:vAlign w:val="bottom"/>
          </w:tcPr>
          <w:p w14:paraId="36B683C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25.9</w:t>
            </w:r>
          </w:p>
        </w:tc>
      </w:tr>
      <w:tr w14:paraId="32693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14DED685">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甘肃省</w:t>
            </w:r>
          </w:p>
        </w:tc>
        <w:tc>
          <w:tcPr>
            <w:tcW w:w="1305" w:type="dxa"/>
            <w:vAlign w:val="bottom"/>
          </w:tcPr>
          <w:p w14:paraId="25C53674">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32F339A3">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43109CA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52</w:t>
            </w:r>
          </w:p>
        </w:tc>
        <w:tc>
          <w:tcPr>
            <w:tcW w:w="1419" w:type="dxa"/>
            <w:vAlign w:val="bottom"/>
          </w:tcPr>
          <w:p w14:paraId="234CF53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374</w:t>
            </w:r>
          </w:p>
        </w:tc>
        <w:tc>
          <w:tcPr>
            <w:tcW w:w="1595" w:type="dxa"/>
            <w:vAlign w:val="bottom"/>
          </w:tcPr>
          <w:p w14:paraId="619EF696">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398.33</w:t>
            </w:r>
          </w:p>
        </w:tc>
        <w:tc>
          <w:tcPr>
            <w:tcW w:w="1365" w:type="dxa"/>
            <w:vAlign w:val="bottom"/>
          </w:tcPr>
          <w:p w14:paraId="6E27D2CD">
            <w:pPr>
              <w:keepNext w:val="0"/>
              <w:keepLines w:val="0"/>
              <w:widowControl/>
              <w:suppressLineNumbers w:val="0"/>
              <w:jc w:val="center"/>
              <w:textAlignment w:val="bottom"/>
              <w:rPr>
                <w:rFonts w:ascii="宋体" w:hAnsi="宋体" w:eastAsia="宋体" w:cs="宋体"/>
                <w:color w:val="auto"/>
                <w:highlight w:val="none"/>
                <w:lang w:eastAsia="zh-CN"/>
              </w:rPr>
            </w:pPr>
            <w:r>
              <w:rPr>
                <w:rFonts w:hint="eastAsia" w:ascii="宋体" w:hAnsi="宋体" w:eastAsia="宋体" w:cs="宋体"/>
                <w:i w:val="0"/>
                <w:iCs w:val="0"/>
                <w:snapToGrid w:val="0"/>
                <w:color w:val="000000"/>
                <w:kern w:val="0"/>
                <w:sz w:val="20"/>
                <w:szCs w:val="20"/>
                <w:highlight w:val="none"/>
                <w:u w:val="none"/>
                <w:lang w:val="en-US" w:eastAsia="zh-CN" w:bidi="ar"/>
              </w:rPr>
              <w:t>24.3</w:t>
            </w:r>
          </w:p>
        </w:tc>
      </w:tr>
      <w:tr w14:paraId="2AB77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58E799D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甘肃省</w:t>
            </w:r>
          </w:p>
        </w:tc>
        <w:tc>
          <w:tcPr>
            <w:tcW w:w="1305" w:type="dxa"/>
            <w:vAlign w:val="bottom"/>
          </w:tcPr>
          <w:p w14:paraId="7CE467B7">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4A3CD50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01C5077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w:t>
            </w:r>
          </w:p>
        </w:tc>
        <w:tc>
          <w:tcPr>
            <w:tcW w:w="1419" w:type="dxa"/>
            <w:vAlign w:val="bottom"/>
          </w:tcPr>
          <w:p w14:paraId="33772DE8">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412</w:t>
            </w:r>
          </w:p>
        </w:tc>
        <w:tc>
          <w:tcPr>
            <w:tcW w:w="1595" w:type="dxa"/>
            <w:vAlign w:val="bottom"/>
          </w:tcPr>
          <w:p w14:paraId="16B6423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421.75</w:t>
            </w:r>
          </w:p>
        </w:tc>
        <w:tc>
          <w:tcPr>
            <w:tcW w:w="1365" w:type="dxa"/>
            <w:vAlign w:val="bottom"/>
          </w:tcPr>
          <w:p w14:paraId="00FC23F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9.8</w:t>
            </w:r>
          </w:p>
        </w:tc>
      </w:tr>
      <w:tr w14:paraId="42C1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33A57A42">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青海省</w:t>
            </w:r>
          </w:p>
        </w:tc>
        <w:tc>
          <w:tcPr>
            <w:tcW w:w="1305" w:type="dxa"/>
            <w:vAlign w:val="bottom"/>
          </w:tcPr>
          <w:p w14:paraId="38679164">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30251DB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416F4852">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23</w:t>
            </w:r>
          </w:p>
        </w:tc>
        <w:tc>
          <w:tcPr>
            <w:tcW w:w="1419" w:type="dxa"/>
            <w:vAlign w:val="bottom"/>
          </w:tcPr>
          <w:p w14:paraId="3E789F8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350</w:t>
            </w:r>
          </w:p>
        </w:tc>
        <w:tc>
          <w:tcPr>
            <w:tcW w:w="1595" w:type="dxa"/>
            <w:vAlign w:val="bottom"/>
          </w:tcPr>
          <w:p w14:paraId="23D9566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350.04</w:t>
            </w:r>
          </w:p>
        </w:tc>
        <w:tc>
          <w:tcPr>
            <w:tcW w:w="1365" w:type="dxa"/>
            <w:vAlign w:val="bottom"/>
          </w:tcPr>
          <w:p w14:paraId="0ED9A9AE">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0.0</w:t>
            </w:r>
          </w:p>
        </w:tc>
      </w:tr>
      <w:tr w14:paraId="308B7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3153F6F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青海省</w:t>
            </w:r>
          </w:p>
        </w:tc>
        <w:tc>
          <w:tcPr>
            <w:tcW w:w="1305" w:type="dxa"/>
            <w:vAlign w:val="bottom"/>
          </w:tcPr>
          <w:p w14:paraId="42AF00D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196AC48A">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18E48D5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6</w:t>
            </w:r>
          </w:p>
        </w:tc>
        <w:tc>
          <w:tcPr>
            <w:tcW w:w="1419" w:type="dxa"/>
            <w:vAlign w:val="bottom"/>
          </w:tcPr>
          <w:p w14:paraId="5322BE5E">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405</w:t>
            </w:r>
          </w:p>
        </w:tc>
        <w:tc>
          <w:tcPr>
            <w:tcW w:w="1595" w:type="dxa"/>
            <w:vAlign w:val="bottom"/>
          </w:tcPr>
          <w:p w14:paraId="60B61C0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416.17</w:t>
            </w:r>
          </w:p>
        </w:tc>
        <w:tc>
          <w:tcPr>
            <w:tcW w:w="1365" w:type="dxa"/>
            <w:vAlign w:val="bottom"/>
          </w:tcPr>
          <w:p w14:paraId="4103DB00">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11.2</w:t>
            </w:r>
          </w:p>
        </w:tc>
      </w:tr>
      <w:tr w14:paraId="66054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 w:hRule="atLeast"/>
          <w:jc w:val="center"/>
        </w:trPr>
        <w:tc>
          <w:tcPr>
            <w:tcW w:w="1291" w:type="dxa"/>
            <w:vAlign w:val="bottom"/>
          </w:tcPr>
          <w:p w14:paraId="7306E8D9">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宁夏回族自治区</w:t>
            </w:r>
          </w:p>
        </w:tc>
        <w:tc>
          <w:tcPr>
            <w:tcW w:w="1305" w:type="dxa"/>
            <w:vAlign w:val="bottom"/>
          </w:tcPr>
          <w:p w14:paraId="33FE6BD0">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42D10E0B">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物理</w:t>
            </w:r>
          </w:p>
        </w:tc>
        <w:tc>
          <w:tcPr>
            <w:tcW w:w="921" w:type="dxa"/>
            <w:vAlign w:val="bottom"/>
          </w:tcPr>
          <w:p w14:paraId="0C13DA65">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10</w:t>
            </w:r>
          </w:p>
        </w:tc>
        <w:tc>
          <w:tcPr>
            <w:tcW w:w="1419" w:type="dxa"/>
            <w:vAlign w:val="bottom"/>
          </w:tcPr>
          <w:p w14:paraId="6AAA7EF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372</w:t>
            </w:r>
          </w:p>
        </w:tc>
        <w:tc>
          <w:tcPr>
            <w:tcW w:w="1595" w:type="dxa"/>
            <w:vAlign w:val="bottom"/>
          </w:tcPr>
          <w:p w14:paraId="485B8CA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408.5</w:t>
            </w:r>
          </w:p>
        </w:tc>
        <w:tc>
          <w:tcPr>
            <w:tcW w:w="1365" w:type="dxa"/>
            <w:vAlign w:val="bottom"/>
          </w:tcPr>
          <w:p w14:paraId="7D2D3A7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36.5</w:t>
            </w:r>
          </w:p>
        </w:tc>
      </w:tr>
      <w:tr w14:paraId="1C46F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291" w:type="dxa"/>
            <w:vAlign w:val="bottom"/>
          </w:tcPr>
          <w:p w14:paraId="7530DA1C">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宁夏回族自治区</w:t>
            </w:r>
          </w:p>
        </w:tc>
        <w:tc>
          <w:tcPr>
            <w:tcW w:w="1305" w:type="dxa"/>
            <w:vAlign w:val="bottom"/>
          </w:tcPr>
          <w:p w14:paraId="2CEAFDDA">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本科批招生</w:t>
            </w:r>
          </w:p>
        </w:tc>
        <w:tc>
          <w:tcPr>
            <w:tcW w:w="1160" w:type="dxa"/>
            <w:vAlign w:val="bottom"/>
          </w:tcPr>
          <w:p w14:paraId="4BC952BD">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历史</w:t>
            </w:r>
          </w:p>
        </w:tc>
        <w:tc>
          <w:tcPr>
            <w:tcW w:w="921" w:type="dxa"/>
            <w:vAlign w:val="bottom"/>
          </w:tcPr>
          <w:p w14:paraId="24A45905">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5</w:t>
            </w:r>
          </w:p>
        </w:tc>
        <w:tc>
          <w:tcPr>
            <w:tcW w:w="1419" w:type="dxa"/>
            <w:vAlign w:val="bottom"/>
          </w:tcPr>
          <w:p w14:paraId="685E5CCA">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404</w:t>
            </w:r>
          </w:p>
        </w:tc>
        <w:tc>
          <w:tcPr>
            <w:tcW w:w="1595" w:type="dxa"/>
            <w:vAlign w:val="bottom"/>
          </w:tcPr>
          <w:p w14:paraId="5E21AA0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429.8</w:t>
            </w:r>
          </w:p>
        </w:tc>
        <w:tc>
          <w:tcPr>
            <w:tcW w:w="1365" w:type="dxa"/>
            <w:vAlign w:val="bottom"/>
          </w:tcPr>
          <w:p w14:paraId="7D29F8D7">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25.8</w:t>
            </w:r>
          </w:p>
        </w:tc>
      </w:tr>
      <w:tr w14:paraId="783B3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291" w:type="dxa"/>
            <w:vAlign w:val="bottom"/>
          </w:tcPr>
          <w:p w14:paraId="513ED400">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新疆维吾尔自治区</w:t>
            </w:r>
          </w:p>
        </w:tc>
        <w:tc>
          <w:tcPr>
            <w:tcW w:w="1305" w:type="dxa"/>
            <w:vAlign w:val="bottom"/>
          </w:tcPr>
          <w:p w14:paraId="0074D77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第二批次招生A</w:t>
            </w:r>
          </w:p>
        </w:tc>
        <w:tc>
          <w:tcPr>
            <w:tcW w:w="1160" w:type="dxa"/>
            <w:vAlign w:val="bottom"/>
          </w:tcPr>
          <w:p w14:paraId="7F072C3E">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文科</w:t>
            </w:r>
          </w:p>
        </w:tc>
        <w:tc>
          <w:tcPr>
            <w:tcW w:w="921" w:type="dxa"/>
            <w:vAlign w:val="bottom"/>
          </w:tcPr>
          <w:p w14:paraId="7C2A6F2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7</w:t>
            </w:r>
          </w:p>
        </w:tc>
        <w:tc>
          <w:tcPr>
            <w:tcW w:w="1419" w:type="dxa"/>
            <w:vAlign w:val="bottom"/>
          </w:tcPr>
          <w:p w14:paraId="3E4A22F1">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330</w:t>
            </w:r>
          </w:p>
        </w:tc>
        <w:tc>
          <w:tcPr>
            <w:tcW w:w="1595" w:type="dxa"/>
            <w:vAlign w:val="bottom"/>
          </w:tcPr>
          <w:p w14:paraId="7D22499D">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349</w:t>
            </w:r>
          </w:p>
        </w:tc>
        <w:tc>
          <w:tcPr>
            <w:tcW w:w="1365" w:type="dxa"/>
            <w:vAlign w:val="bottom"/>
          </w:tcPr>
          <w:p w14:paraId="3870A219">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19.0</w:t>
            </w:r>
          </w:p>
        </w:tc>
      </w:tr>
      <w:tr w14:paraId="5E0D9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1291" w:type="dxa"/>
            <w:vAlign w:val="bottom"/>
          </w:tcPr>
          <w:p w14:paraId="71668CE6">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新疆维吾尔自治区</w:t>
            </w:r>
          </w:p>
        </w:tc>
        <w:tc>
          <w:tcPr>
            <w:tcW w:w="1305" w:type="dxa"/>
            <w:vAlign w:val="bottom"/>
          </w:tcPr>
          <w:p w14:paraId="2194003A">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第二批次招生A</w:t>
            </w:r>
          </w:p>
        </w:tc>
        <w:tc>
          <w:tcPr>
            <w:tcW w:w="1160" w:type="dxa"/>
            <w:vAlign w:val="bottom"/>
          </w:tcPr>
          <w:p w14:paraId="71DC54BC">
            <w:pPr>
              <w:keepNext w:val="0"/>
              <w:keepLines w:val="0"/>
              <w:widowControl/>
              <w:suppressLineNumbers w:val="0"/>
              <w:jc w:val="center"/>
              <w:textAlignment w:val="bottom"/>
              <w:rPr>
                <w:rFonts w:ascii="宋体" w:hAnsi="宋体" w:eastAsia="宋体" w:cs="宋体"/>
                <w:color w:val="auto"/>
                <w:highlight w:val="none"/>
              </w:rPr>
            </w:pPr>
            <w:r>
              <w:rPr>
                <w:rFonts w:hint="default" w:ascii="Arial" w:hAnsi="Arial" w:eastAsia="宋体" w:cs="Arial"/>
                <w:i w:val="0"/>
                <w:iCs w:val="0"/>
                <w:snapToGrid w:val="0"/>
                <w:color w:val="000000"/>
                <w:kern w:val="0"/>
                <w:sz w:val="20"/>
                <w:szCs w:val="20"/>
                <w:highlight w:val="none"/>
                <w:u w:val="none"/>
                <w:lang w:val="en-US" w:eastAsia="zh-CN" w:bidi="ar"/>
              </w:rPr>
              <w:t>理科</w:t>
            </w:r>
          </w:p>
        </w:tc>
        <w:tc>
          <w:tcPr>
            <w:tcW w:w="921" w:type="dxa"/>
            <w:vAlign w:val="bottom"/>
          </w:tcPr>
          <w:p w14:paraId="370B3A9F">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8</w:t>
            </w:r>
          </w:p>
        </w:tc>
        <w:tc>
          <w:tcPr>
            <w:tcW w:w="1419" w:type="dxa"/>
            <w:vAlign w:val="bottom"/>
          </w:tcPr>
          <w:p w14:paraId="6B406AE2">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280</w:t>
            </w:r>
          </w:p>
        </w:tc>
        <w:tc>
          <w:tcPr>
            <w:tcW w:w="1595" w:type="dxa"/>
            <w:vAlign w:val="bottom"/>
          </w:tcPr>
          <w:p w14:paraId="53B2A422">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292.13</w:t>
            </w:r>
          </w:p>
        </w:tc>
        <w:tc>
          <w:tcPr>
            <w:tcW w:w="1365" w:type="dxa"/>
            <w:vAlign w:val="bottom"/>
          </w:tcPr>
          <w:p w14:paraId="02D3F346">
            <w:pPr>
              <w:keepNext w:val="0"/>
              <w:keepLines w:val="0"/>
              <w:widowControl/>
              <w:suppressLineNumbers w:val="0"/>
              <w:jc w:val="center"/>
              <w:textAlignment w:val="bottom"/>
              <w:rPr>
                <w:rFonts w:ascii="宋体" w:hAnsi="宋体" w:eastAsia="宋体" w:cs="宋体"/>
                <w:color w:val="auto"/>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12.1</w:t>
            </w:r>
          </w:p>
        </w:tc>
      </w:tr>
    </w:tbl>
    <w:p w14:paraId="4DCC6649">
      <w:pPr>
        <w:rPr>
          <w:highlight w:val="none"/>
        </w:rPr>
      </w:pPr>
      <w:r>
        <w:rPr>
          <w:highlight w:val="none"/>
        </w:rPr>
        <w:br w:type="page"/>
      </w:r>
    </w:p>
    <w:p w14:paraId="27984285">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jc w:val="both"/>
        <w:textAlignment w:val="baseline"/>
        <w:outlineLvl w:val="0"/>
        <w:rPr>
          <w:rFonts w:ascii="黑体" w:hAnsi="黑体" w:eastAsia="黑体" w:cs="黑体"/>
          <w:spacing w:val="5"/>
          <w:sz w:val="30"/>
          <w:szCs w:val="30"/>
          <w:highlight w:val="none"/>
          <w:lang w:eastAsia="zh-CN"/>
        </w:rPr>
      </w:pPr>
      <w:bookmarkStart w:id="20" w:name="_Toc4597"/>
      <w:r>
        <w:rPr>
          <w:rFonts w:hint="eastAsia" w:ascii="黑体" w:hAnsi="黑体" w:eastAsia="黑体" w:cs="黑体"/>
          <w:sz w:val="30"/>
          <w:szCs w:val="30"/>
          <w:highlight w:val="none"/>
          <w:lang w:eastAsia="zh-CN"/>
        </w:rPr>
        <w:t>第二部分 师资与教学条件</w:t>
      </w:r>
      <w:bookmarkEnd w:id="20"/>
    </w:p>
    <w:p w14:paraId="0E155AB9">
      <w:pPr>
        <w:keepNext w:val="0"/>
        <w:keepLines w:val="0"/>
        <w:pageBreakBefore w:val="0"/>
        <w:widowControl/>
        <w:kinsoku w:val="0"/>
        <w:wordWrap/>
        <w:overflowPunct/>
        <w:topLinePunct w:val="0"/>
        <w:autoSpaceDE w:val="0"/>
        <w:autoSpaceDN w:val="0"/>
        <w:bidi w:val="0"/>
        <w:adjustRightInd/>
        <w:snapToGrid/>
        <w:spacing w:before="120" w:beforeLines="50" w:after="120" w:afterLines="50"/>
        <w:jc w:val="both"/>
        <w:textAlignment w:val="baseline"/>
        <w:outlineLvl w:val="1"/>
        <w:rPr>
          <w:rFonts w:hint="default" w:ascii="黑体" w:hAnsi="黑体" w:eastAsia="黑体" w:cs="黑体"/>
          <w:sz w:val="28"/>
          <w:szCs w:val="28"/>
          <w:highlight w:val="none"/>
          <w:lang w:val="en-US" w:eastAsia="zh-CN"/>
        </w:rPr>
      </w:pPr>
      <w:bookmarkStart w:id="21" w:name="_Toc29190"/>
      <w:r>
        <w:rPr>
          <w:rFonts w:hint="eastAsia" w:ascii="黑体" w:hAnsi="黑体" w:eastAsia="黑体" w:cs="黑体"/>
          <w:sz w:val="28"/>
          <w:szCs w:val="28"/>
          <w:highlight w:val="none"/>
          <w:lang w:eastAsia="zh-CN"/>
        </w:rPr>
        <w:t>一、</w:t>
      </w:r>
      <w:r>
        <w:rPr>
          <w:rFonts w:hint="eastAsia" w:ascii="黑体" w:hAnsi="黑体" w:eastAsia="黑体" w:cs="黑体"/>
          <w:sz w:val="28"/>
          <w:szCs w:val="28"/>
          <w:highlight w:val="none"/>
          <w:lang w:val="en-US" w:eastAsia="zh-CN"/>
        </w:rPr>
        <w:t>学校生师比</w:t>
      </w:r>
      <w:bookmarkEnd w:id="21"/>
    </w:p>
    <w:p w14:paraId="237EB8DA">
      <w:pPr>
        <w:keepNext w:val="0"/>
        <w:keepLines w:val="0"/>
        <w:pageBreakBefore w:val="0"/>
        <w:widowControl/>
        <w:kinsoku w:val="0"/>
        <w:wordWrap/>
        <w:overflowPunct/>
        <w:topLinePunct w:val="0"/>
        <w:autoSpaceDE w:val="0"/>
        <w:autoSpaceDN w:val="0"/>
        <w:bidi w:val="0"/>
        <w:adjustRightInd w:val="0"/>
        <w:snapToGrid w:val="0"/>
        <w:spacing w:line="400" w:lineRule="exact"/>
        <w:ind w:firstLine="464" w:firstLineChars="200"/>
        <w:jc w:val="both"/>
        <w:textAlignment w:val="baseline"/>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eastAsia="zh-CN"/>
        </w:rPr>
        <w:t>学校生师比达到国家要求。现有教职工</w:t>
      </w:r>
      <w:r>
        <w:rPr>
          <w:rFonts w:hint="eastAsia" w:ascii="宋体" w:hAnsi="宋体" w:eastAsia="宋体" w:cs="宋体"/>
          <w:strike w:val="0"/>
          <w:dstrike w:val="0"/>
          <w:color w:val="auto"/>
          <w:spacing w:val="-4"/>
          <w:sz w:val="24"/>
          <w:szCs w:val="24"/>
          <w:highlight w:val="none"/>
          <w:lang w:val="en-US" w:eastAsia="zh-CN"/>
        </w:rPr>
        <w:t>1006</w:t>
      </w:r>
      <w:r>
        <w:rPr>
          <w:rFonts w:hint="eastAsia" w:ascii="宋体" w:hAnsi="宋体" w:eastAsia="宋体" w:cs="宋体"/>
          <w:color w:val="auto"/>
          <w:spacing w:val="-4"/>
          <w:sz w:val="24"/>
          <w:szCs w:val="24"/>
          <w:highlight w:val="none"/>
          <w:lang w:eastAsia="zh-CN"/>
        </w:rPr>
        <w:t>人，其中自有专任教师</w:t>
      </w:r>
      <w:r>
        <w:rPr>
          <w:rFonts w:hint="eastAsia" w:ascii="宋体" w:hAnsi="宋体" w:eastAsia="宋体" w:cs="宋体"/>
          <w:color w:val="auto"/>
          <w:spacing w:val="-4"/>
          <w:sz w:val="24"/>
          <w:szCs w:val="24"/>
          <w:highlight w:val="none"/>
          <w:lang w:val="en-US" w:eastAsia="zh-CN"/>
        </w:rPr>
        <w:t>779</w:t>
      </w:r>
      <w:r>
        <w:rPr>
          <w:rFonts w:hint="eastAsia" w:ascii="宋体" w:hAnsi="宋体" w:eastAsia="宋体" w:cs="宋体"/>
          <w:color w:val="auto"/>
          <w:spacing w:val="-4"/>
          <w:sz w:val="24"/>
          <w:szCs w:val="24"/>
          <w:highlight w:val="none"/>
          <w:lang w:eastAsia="zh-CN"/>
        </w:rPr>
        <w:t>人，外聘教师</w:t>
      </w:r>
      <w:r>
        <w:rPr>
          <w:rFonts w:hint="eastAsia" w:ascii="宋体" w:hAnsi="宋体" w:eastAsia="宋体" w:cs="宋体"/>
          <w:color w:val="auto"/>
          <w:spacing w:val="-4"/>
          <w:sz w:val="24"/>
          <w:szCs w:val="24"/>
          <w:highlight w:val="none"/>
          <w:lang w:val="en-US" w:eastAsia="zh-CN"/>
        </w:rPr>
        <w:t>179人，折合89.5人</w:t>
      </w:r>
      <w:r>
        <w:rPr>
          <w:rFonts w:hint="eastAsia" w:ascii="宋体" w:hAnsi="宋体" w:eastAsia="宋体" w:cs="宋体"/>
          <w:color w:val="auto"/>
          <w:spacing w:val="-4"/>
          <w:sz w:val="24"/>
          <w:szCs w:val="24"/>
          <w:highlight w:val="none"/>
          <w:lang w:eastAsia="zh-CN"/>
        </w:rPr>
        <w:t>，在校生</w:t>
      </w:r>
      <w:r>
        <w:rPr>
          <w:rFonts w:hint="eastAsia" w:ascii="宋体" w:hAnsi="宋体" w:eastAsia="宋体" w:cs="宋体"/>
          <w:color w:val="auto"/>
          <w:spacing w:val="-4"/>
          <w:sz w:val="24"/>
          <w:szCs w:val="24"/>
          <w:highlight w:val="none"/>
          <w:lang w:val="en-US" w:eastAsia="zh-CN"/>
        </w:rPr>
        <w:t>15290人</w:t>
      </w:r>
      <w:r>
        <w:rPr>
          <w:rFonts w:hint="eastAsia" w:ascii="宋体" w:hAnsi="宋体" w:eastAsia="宋体" w:cs="宋体"/>
          <w:color w:val="auto"/>
          <w:spacing w:val="-4"/>
          <w:sz w:val="24"/>
          <w:szCs w:val="24"/>
          <w:highlight w:val="none"/>
          <w:lang w:eastAsia="zh-CN"/>
        </w:rPr>
        <w:t>，生师比为</w:t>
      </w:r>
      <w:r>
        <w:rPr>
          <w:rFonts w:hint="eastAsia" w:ascii="宋体" w:hAnsi="宋体" w:eastAsia="宋体" w:cs="宋体"/>
          <w:color w:val="auto"/>
          <w:spacing w:val="-4"/>
          <w:sz w:val="24"/>
          <w:szCs w:val="24"/>
          <w:highlight w:val="none"/>
          <w:lang w:val="en-US" w:eastAsia="zh-CN"/>
        </w:rPr>
        <w:t>17.61</w:t>
      </w:r>
      <w:r>
        <w:rPr>
          <w:rFonts w:hint="eastAsia" w:ascii="宋体" w:hAnsi="宋体" w:eastAsia="宋体" w:cs="宋体"/>
          <w:color w:val="auto"/>
          <w:spacing w:val="-4"/>
          <w:sz w:val="24"/>
          <w:szCs w:val="24"/>
          <w:highlight w:val="none"/>
          <w:lang w:eastAsia="zh-CN"/>
        </w:rPr>
        <w:t>:1。</w:t>
      </w:r>
      <w:r>
        <w:rPr>
          <w:rFonts w:hint="eastAsia" w:ascii="宋体" w:hAnsi="宋体" w:eastAsia="宋体" w:cs="宋体"/>
          <w:color w:val="auto"/>
          <w:spacing w:val="-4"/>
          <w:sz w:val="24"/>
          <w:szCs w:val="24"/>
          <w:highlight w:val="none"/>
          <w:lang w:val="en-US" w:eastAsia="zh-CN"/>
        </w:rPr>
        <w:t>近两学年教师总数及师生比见表2-1。</w:t>
      </w:r>
    </w:p>
    <w:p w14:paraId="42203CC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highlight w:val="none"/>
        </w:rPr>
      </w:pPr>
      <w:r>
        <w:rPr>
          <w:rFonts w:hint="eastAsia" w:ascii="宋体" w:hAnsi="宋体" w:eastAsia="宋体"/>
          <w:highlight w:val="none"/>
        </w:rPr>
        <w:t>表</w:t>
      </w:r>
      <w:r>
        <w:rPr>
          <w:rFonts w:hint="eastAsia" w:ascii="宋体" w:hAnsi="宋体" w:eastAsia="宋体"/>
          <w:highlight w:val="none"/>
          <w:lang w:eastAsia="zh-CN"/>
        </w:rPr>
        <w:t>2-1</w:t>
      </w:r>
      <w:r>
        <w:rPr>
          <w:rFonts w:hint="eastAsia" w:ascii="宋体" w:hAnsi="宋体" w:eastAsia="宋体"/>
          <w:highlight w:val="none"/>
        </w:rPr>
        <w:t xml:space="preserve"> 近两学年教师总数</w:t>
      </w:r>
    </w:p>
    <w:tbl>
      <w:tblPr>
        <w:tblStyle w:val="20"/>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70"/>
        <w:gridCol w:w="1737"/>
        <w:gridCol w:w="1682"/>
        <w:gridCol w:w="2043"/>
        <w:gridCol w:w="1790"/>
      </w:tblGrid>
      <w:tr w14:paraId="3252EB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tblHeader/>
          <w:jc w:val="center"/>
        </w:trPr>
        <w:tc>
          <w:tcPr>
            <w:tcW w:w="1270" w:type="dxa"/>
            <w:vAlign w:val="center"/>
          </w:tcPr>
          <w:p w14:paraId="038F012F">
            <w:pPr>
              <w:widowControl w:val="0"/>
              <w:jc w:val="center"/>
              <w:rPr>
                <w:highlight w:val="none"/>
              </w:rPr>
            </w:pPr>
          </w:p>
        </w:tc>
        <w:tc>
          <w:tcPr>
            <w:tcW w:w="1737" w:type="dxa"/>
            <w:vAlign w:val="center"/>
          </w:tcPr>
          <w:p w14:paraId="611F6487">
            <w:pPr>
              <w:widowControl w:val="0"/>
              <w:jc w:val="center"/>
              <w:rPr>
                <w:highlight w:val="none"/>
              </w:rPr>
            </w:pPr>
            <w:r>
              <w:rPr>
                <w:rFonts w:hint="eastAsia" w:ascii="宋体" w:hAnsi="宋体" w:eastAsia="宋体"/>
                <w:b/>
                <w:highlight w:val="none"/>
              </w:rPr>
              <w:t>专任教师数</w:t>
            </w:r>
          </w:p>
        </w:tc>
        <w:tc>
          <w:tcPr>
            <w:tcW w:w="1682" w:type="dxa"/>
            <w:vAlign w:val="center"/>
          </w:tcPr>
          <w:p w14:paraId="406E6181">
            <w:pPr>
              <w:widowControl w:val="0"/>
              <w:jc w:val="center"/>
              <w:rPr>
                <w:highlight w:val="none"/>
              </w:rPr>
            </w:pPr>
            <w:r>
              <w:rPr>
                <w:rFonts w:hint="eastAsia" w:ascii="宋体" w:hAnsi="宋体" w:eastAsia="宋体"/>
                <w:b/>
                <w:highlight w:val="none"/>
              </w:rPr>
              <w:t>外聘教师数</w:t>
            </w:r>
          </w:p>
        </w:tc>
        <w:tc>
          <w:tcPr>
            <w:tcW w:w="2043" w:type="dxa"/>
            <w:vAlign w:val="center"/>
          </w:tcPr>
          <w:p w14:paraId="76E76BC0">
            <w:pPr>
              <w:widowControl w:val="0"/>
              <w:jc w:val="center"/>
              <w:rPr>
                <w:highlight w:val="none"/>
              </w:rPr>
            </w:pPr>
            <w:r>
              <w:rPr>
                <w:rFonts w:hint="eastAsia" w:ascii="宋体" w:hAnsi="宋体" w:eastAsia="宋体"/>
                <w:b/>
                <w:highlight w:val="none"/>
              </w:rPr>
              <w:t>折合教师总数</w:t>
            </w:r>
          </w:p>
        </w:tc>
        <w:tc>
          <w:tcPr>
            <w:tcW w:w="1790" w:type="dxa"/>
            <w:vAlign w:val="center"/>
          </w:tcPr>
          <w:p w14:paraId="3EEB0408">
            <w:pPr>
              <w:widowControl w:val="0"/>
              <w:jc w:val="center"/>
              <w:rPr>
                <w:highlight w:val="none"/>
              </w:rPr>
            </w:pPr>
            <w:r>
              <w:rPr>
                <w:rFonts w:hint="eastAsia" w:ascii="宋体" w:hAnsi="宋体" w:eastAsia="宋体"/>
                <w:b/>
                <w:highlight w:val="none"/>
              </w:rPr>
              <w:t>生师比</w:t>
            </w:r>
          </w:p>
        </w:tc>
      </w:tr>
      <w:tr w14:paraId="2AE899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270" w:type="dxa"/>
            <w:vAlign w:val="center"/>
          </w:tcPr>
          <w:p w14:paraId="03AA4E03">
            <w:pPr>
              <w:widowControl w:val="0"/>
              <w:jc w:val="center"/>
              <w:rPr>
                <w:highlight w:val="none"/>
              </w:rPr>
            </w:pPr>
            <w:r>
              <w:rPr>
                <w:rFonts w:hint="eastAsia" w:ascii="宋体" w:hAnsi="宋体" w:eastAsia="宋体"/>
                <w:b/>
                <w:highlight w:val="none"/>
              </w:rPr>
              <w:t>本学年</w:t>
            </w:r>
          </w:p>
        </w:tc>
        <w:tc>
          <w:tcPr>
            <w:tcW w:w="1737" w:type="dxa"/>
            <w:vAlign w:val="center"/>
          </w:tcPr>
          <w:p w14:paraId="5B54D3ED">
            <w:pPr>
              <w:widowControl w:val="0"/>
              <w:jc w:val="center"/>
              <w:rPr>
                <w:rFonts w:hint="default"/>
                <w:highlight w:val="none"/>
                <w:u w:val="none"/>
                <w:lang w:val="en-US"/>
              </w:rPr>
            </w:pPr>
            <w:r>
              <w:rPr>
                <w:rFonts w:hint="eastAsia" w:ascii="宋体" w:hAnsi="宋体" w:eastAsia="宋体"/>
                <w:sz w:val="24"/>
                <w:szCs w:val="24"/>
                <w:highlight w:val="none"/>
                <w:u w:val="none"/>
                <w:lang w:val="en-US" w:eastAsia="zh-CN"/>
              </w:rPr>
              <w:t>778</w:t>
            </w:r>
          </w:p>
        </w:tc>
        <w:tc>
          <w:tcPr>
            <w:tcW w:w="1682" w:type="dxa"/>
            <w:vAlign w:val="center"/>
          </w:tcPr>
          <w:p w14:paraId="3189B7E1">
            <w:pPr>
              <w:widowControl w:val="0"/>
              <w:jc w:val="center"/>
              <w:rPr>
                <w:rFonts w:hint="default"/>
                <w:highlight w:val="none"/>
                <w:u w:val="none"/>
                <w:lang w:val="en-US"/>
              </w:rPr>
            </w:pPr>
            <w:r>
              <w:rPr>
                <w:rFonts w:hint="eastAsia" w:ascii="宋体" w:hAnsi="宋体" w:eastAsia="宋体"/>
                <w:sz w:val="24"/>
                <w:szCs w:val="24"/>
                <w:highlight w:val="none"/>
                <w:u w:val="none"/>
                <w:lang w:val="en-US" w:eastAsia="zh-CN"/>
              </w:rPr>
              <w:t>179</w:t>
            </w:r>
          </w:p>
        </w:tc>
        <w:tc>
          <w:tcPr>
            <w:tcW w:w="2043" w:type="dxa"/>
            <w:vAlign w:val="center"/>
          </w:tcPr>
          <w:p w14:paraId="21F99B3E">
            <w:pPr>
              <w:widowControl w:val="0"/>
              <w:jc w:val="center"/>
              <w:rPr>
                <w:highlight w:val="none"/>
                <w:u w:val="none"/>
              </w:rPr>
            </w:pPr>
            <w:r>
              <w:rPr>
                <w:rFonts w:hint="eastAsia" w:ascii="宋体" w:hAnsi="宋体" w:eastAsia="宋体"/>
                <w:sz w:val="24"/>
                <w:szCs w:val="24"/>
                <w:highlight w:val="none"/>
                <w:u w:val="none"/>
                <w:lang w:val="en-US" w:eastAsia="zh-CN"/>
              </w:rPr>
              <w:t>867.5</w:t>
            </w:r>
          </w:p>
        </w:tc>
        <w:tc>
          <w:tcPr>
            <w:tcW w:w="1790" w:type="dxa"/>
            <w:vAlign w:val="center"/>
          </w:tcPr>
          <w:p w14:paraId="4F057EE6">
            <w:pPr>
              <w:widowControl w:val="0"/>
              <w:jc w:val="center"/>
              <w:rPr>
                <w:rFonts w:hint="default"/>
                <w:highlight w:val="none"/>
                <w:u w:val="none"/>
                <w:lang w:val="en-US"/>
              </w:rPr>
            </w:pPr>
            <w:r>
              <w:rPr>
                <w:rFonts w:hint="eastAsia" w:ascii="宋体" w:hAnsi="宋体" w:eastAsia="宋体"/>
                <w:sz w:val="24"/>
                <w:szCs w:val="24"/>
                <w:highlight w:val="none"/>
                <w:u w:val="none"/>
                <w:lang w:val="en-US" w:eastAsia="zh-CN"/>
              </w:rPr>
              <w:t>17.61</w:t>
            </w:r>
          </w:p>
        </w:tc>
      </w:tr>
      <w:tr w14:paraId="2FBEFB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270" w:type="dxa"/>
            <w:vAlign w:val="center"/>
          </w:tcPr>
          <w:p w14:paraId="3840D390">
            <w:pPr>
              <w:widowControl w:val="0"/>
              <w:jc w:val="center"/>
              <w:rPr>
                <w:highlight w:val="none"/>
              </w:rPr>
            </w:pPr>
            <w:r>
              <w:rPr>
                <w:rFonts w:hint="eastAsia" w:ascii="宋体" w:hAnsi="宋体" w:eastAsia="宋体"/>
                <w:b/>
                <w:highlight w:val="none"/>
              </w:rPr>
              <w:t>上学年</w:t>
            </w:r>
          </w:p>
        </w:tc>
        <w:tc>
          <w:tcPr>
            <w:tcW w:w="1737" w:type="dxa"/>
            <w:vAlign w:val="center"/>
          </w:tcPr>
          <w:p w14:paraId="35D43363">
            <w:pPr>
              <w:widowControl w:val="0"/>
              <w:jc w:val="center"/>
              <w:rPr>
                <w:highlight w:val="none"/>
              </w:rPr>
            </w:pPr>
            <w:r>
              <w:rPr>
                <w:rFonts w:hint="eastAsia" w:ascii="宋体" w:hAnsi="宋体" w:eastAsia="宋体"/>
                <w:sz w:val="24"/>
                <w:szCs w:val="24"/>
                <w:highlight w:val="none"/>
                <w:lang w:val="en-US" w:eastAsia="zh-CN"/>
              </w:rPr>
              <w:t>672</w:t>
            </w:r>
          </w:p>
        </w:tc>
        <w:tc>
          <w:tcPr>
            <w:tcW w:w="1682" w:type="dxa"/>
            <w:vAlign w:val="center"/>
          </w:tcPr>
          <w:p w14:paraId="31991119">
            <w:pPr>
              <w:widowControl w:val="0"/>
              <w:jc w:val="center"/>
              <w:rPr>
                <w:highlight w:val="none"/>
              </w:rPr>
            </w:pPr>
            <w:r>
              <w:rPr>
                <w:rFonts w:hint="eastAsia" w:ascii="宋体" w:hAnsi="宋体" w:eastAsia="宋体"/>
                <w:sz w:val="24"/>
                <w:szCs w:val="24"/>
                <w:highlight w:val="none"/>
                <w:lang w:val="en-US" w:eastAsia="zh-CN"/>
              </w:rPr>
              <w:t>167</w:t>
            </w:r>
          </w:p>
        </w:tc>
        <w:tc>
          <w:tcPr>
            <w:tcW w:w="2043" w:type="dxa"/>
            <w:vAlign w:val="center"/>
          </w:tcPr>
          <w:p w14:paraId="7954874B">
            <w:pPr>
              <w:widowControl w:val="0"/>
              <w:jc w:val="center"/>
              <w:rPr>
                <w:highlight w:val="none"/>
              </w:rPr>
            </w:pPr>
            <w:r>
              <w:rPr>
                <w:rFonts w:hint="eastAsia" w:ascii="宋体" w:hAnsi="宋体" w:eastAsia="宋体"/>
                <w:sz w:val="24"/>
                <w:szCs w:val="24"/>
                <w:highlight w:val="none"/>
                <w:lang w:val="en-US" w:eastAsia="zh-CN"/>
              </w:rPr>
              <w:t>800</w:t>
            </w:r>
            <w:r>
              <w:rPr>
                <w:rFonts w:hint="eastAsia" w:ascii="宋体" w:hAnsi="宋体" w:eastAsia="宋体"/>
                <w:sz w:val="24"/>
                <w:szCs w:val="24"/>
                <w:highlight w:val="none"/>
                <w:lang w:eastAsia="zh-CN"/>
              </w:rPr>
              <w:t>.0</w:t>
            </w:r>
          </w:p>
        </w:tc>
        <w:tc>
          <w:tcPr>
            <w:tcW w:w="1790" w:type="dxa"/>
            <w:vAlign w:val="center"/>
          </w:tcPr>
          <w:p w14:paraId="22394058">
            <w:pPr>
              <w:widowControl w:val="0"/>
              <w:jc w:val="center"/>
              <w:rPr>
                <w:highlight w:val="none"/>
              </w:rPr>
            </w:pPr>
            <w:r>
              <w:rPr>
                <w:rFonts w:hint="eastAsia" w:ascii="宋体" w:hAnsi="宋体" w:eastAsia="宋体"/>
                <w:sz w:val="24"/>
                <w:szCs w:val="24"/>
                <w:highlight w:val="none"/>
                <w:lang w:eastAsia="zh-CN"/>
              </w:rPr>
              <w:t>20.</w:t>
            </w:r>
            <w:r>
              <w:rPr>
                <w:rFonts w:hint="eastAsia" w:ascii="宋体" w:hAnsi="宋体" w:eastAsia="宋体"/>
                <w:sz w:val="24"/>
                <w:szCs w:val="24"/>
                <w:highlight w:val="none"/>
                <w:lang w:val="en-US" w:eastAsia="zh-CN"/>
              </w:rPr>
              <w:t>28</w:t>
            </w:r>
          </w:p>
        </w:tc>
      </w:tr>
    </w:tbl>
    <w:p w14:paraId="674E9CF8">
      <w:pPr>
        <w:adjustRightInd/>
        <w:snapToGrid/>
        <w:spacing w:before="120" w:beforeLines="50" w:after="120" w:afterLines="50"/>
        <w:jc w:val="both"/>
        <w:outlineLvl w:val="1"/>
        <w:rPr>
          <w:rFonts w:hint="eastAsia" w:ascii="黑体" w:hAnsi="黑体" w:eastAsia="黑体" w:cs="黑体"/>
          <w:sz w:val="28"/>
          <w:szCs w:val="28"/>
          <w:highlight w:val="none"/>
          <w:lang w:eastAsia="zh-CN"/>
        </w:rPr>
      </w:pPr>
      <w:bookmarkStart w:id="22" w:name="_Toc10761"/>
      <w:r>
        <w:rPr>
          <w:rFonts w:hint="eastAsia" w:ascii="黑体" w:hAnsi="黑体" w:eastAsia="黑体" w:cs="黑体"/>
          <w:sz w:val="28"/>
          <w:szCs w:val="28"/>
          <w:highlight w:val="none"/>
          <w:lang w:val="en-US" w:eastAsia="zh-CN"/>
        </w:rPr>
        <w:t>二、</w:t>
      </w:r>
      <w:r>
        <w:rPr>
          <w:rFonts w:hint="eastAsia" w:ascii="黑体" w:hAnsi="黑体" w:eastAsia="黑体" w:cs="黑体"/>
          <w:sz w:val="28"/>
          <w:szCs w:val="28"/>
          <w:highlight w:val="none"/>
          <w:lang w:eastAsia="zh-CN"/>
        </w:rPr>
        <w:t>师资队伍数量及结构情况</w:t>
      </w:r>
      <w:bookmarkEnd w:id="22"/>
    </w:p>
    <w:p w14:paraId="14D9DB1D">
      <w:pPr>
        <w:spacing w:line="400" w:lineRule="exact"/>
        <w:ind w:firstLine="480" w:firstLineChars="200"/>
        <w:jc w:val="both"/>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专任教师中，“双师型”教师43人，占专任教师的比例为5.52%；具有高级职称的专任教师62人，占专任教师的比例为7.96%；具有研究生学位（硕士和博士）的专任教师694人，占专任教师的比例为89.09%。</w:t>
      </w:r>
      <w:r>
        <w:rPr>
          <w:rFonts w:hint="eastAsia" w:ascii="宋体" w:hAnsi="宋体" w:eastAsia="宋体" w:cs="宋体"/>
          <w:color w:val="auto"/>
          <w:spacing w:val="-4"/>
          <w:sz w:val="24"/>
          <w:szCs w:val="24"/>
          <w:highlight w:val="none"/>
          <w:lang w:eastAsia="zh-CN"/>
        </w:rPr>
        <w:t>教师队伍职称、学位、年龄结构详见表2-2、图2-1、图2-2、图2-3</w:t>
      </w:r>
      <w:r>
        <w:rPr>
          <w:rFonts w:hint="eastAsia" w:ascii="宋体" w:hAnsi="宋体" w:eastAsia="宋体" w:cs="宋体"/>
          <w:color w:val="auto"/>
          <w:sz w:val="24"/>
          <w:szCs w:val="24"/>
          <w:highlight w:val="none"/>
          <w:lang w:eastAsia="zh-CN"/>
        </w:rPr>
        <w:t>。</w:t>
      </w:r>
    </w:p>
    <w:p w14:paraId="75953438">
      <w:pPr>
        <w:spacing w:before="120" w:beforeLines="50"/>
        <w:jc w:val="center"/>
        <w:rPr>
          <w:rFonts w:ascii="宋体" w:hAnsi="宋体" w:eastAsia="宋体" w:cs="宋体"/>
          <w:spacing w:val="8"/>
          <w:highlight w:val="none"/>
          <w:lang w:eastAsia="zh-CN"/>
        </w:rPr>
      </w:pPr>
      <w:r>
        <w:rPr>
          <w:rFonts w:hint="eastAsia" w:ascii="宋体" w:hAnsi="宋体" w:eastAsia="宋体" w:cs="宋体"/>
          <w:spacing w:val="8"/>
          <w:highlight w:val="none"/>
          <w:lang w:eastAsia="zh-CN"/>
        </w:rPr>
        <w:t>表2-2 教师队伍职称、学位、年龄结构</w:t>
      </w:r>
    </w:p>
    <w:tbl>
      <w:tblPr>
        <w:tblStyle w:val="20"/>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81"/>
        <w:gridCol w:w="1405"/>
        <w:gridCol w:w="1580"/>
        <w:gridCol w:w="1588"/>
        <w:gridCol w:w="1637"/>
        <w:gridCol w:w="1531"/>
      </w:tblGrid>
      <w:tr w14:paraId="30E7BC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tblHeader/>
          <w:jc w:val="center"/>
        </w:trPr>
        <w:tc>
          <w:tcPr>
            <w:tcW w:w="2186" w:type="dxa"/>
            <w:gridSpan w:val="2"/>
            <w:vMerge w:val="restart"/>
            <w:vAlign w:val="center"/>
          </w:tcPr>
          <w:p w14:paraId="2FDF3768">
            <w:pPr>
              <w:widowControl w:val="0"/>
              <w:jc w:val="center"/>
              <w:rPr>
                <w:rFonts w:hint="eastAsia" w:ascii="宋体" w:hAnsi="宋体" w:eastAsia="宋体"/>
                <w:b/>
                <w:sz w:val="21"/>
                <w:szCs w:val="21"/>
                <w:highlight w:val="none"/>
              </w:rPr>
            </w:pPr>
            <w:r>
              <w:rPr>
                <w:rFonts w:hint="eastAsia" w:ascii="宋体" w:hAnsi="宋体" w:eastAsia="宋体"/>
                <w:b/>
                <w:sz w:val="21"/>
                <w:szCs w:val="21"/>
                <w:highlight w:val="none"/>
              </w:rPr>
              <w:t>项目</w:t>
            </w:r>
          </w:p>
        </w:tc>
        <w:tc>
          <w:tcPr>
            <w:tcW w:w="3168" w:type="dxa"/>
            <w:gridSpan w:val="2"/>
            <w:vAlign w:val="center"/>
          </w:tcPr>
          <w:p w14:paraId="094871A9">
            <w:pPr>
              <w:widowControl w:val="0"/>
              <w:jc w:val="center"/>
              <w:rPr>
                <w:highlight w:val="none"/>
              </w:rPr>
            </w:pPr>
            <w:r>
              <w:rPr>
                <w:rFonts w:hint="eastAsia" w:ascii="宋体" w:hAnsi="宋体" w:eastAsia="宋体"/>
                <w:b/>
                <w:sz w:val="21"/>
                <w:szCs w:val="21"/>
                <w:highlight w:val="none"/>
              </w:rPr>
              <w:t>专任教师</w:t>
            </w:r>
          </w:p>
        </w:tc>
        <w:tc>
          <w:tcPr>
            <w:tcW w:w="3168" w:type="dxa"/>
            <w:gridSpan w:val="2"/>
            <w:vAlign w:val="center"/>
          </w:tcPr>
          <w:p w14:paraId="62D7D5D3">
            <w:pPr>
              <w:widowControl w:val="0"/>
              <w:jc w:val="center"/>
              <w:rPr>
                <w:highlight w:val="none"/>
              </w:rPr>
            </w:pPr>
            <w:r>
              <w:rPr>
                <w:rFonts w:hint="eastAsia" w:ascii="宋体" w:hAnsi="宋体" w:eastAsia="宋体"/>
                <w:b/>
                <w:sz w:val="21"/>
                <w:szCs w:val="21"/>
                <w:highlight w:val="none"/>
              </w:rPr>
              <w:t>外聘教师</w:t>
            </w:r>
          </w:p>
        </w:tc>
      </w:tr>
      <w:tr w14:paraId="138E97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tblHeader/>
          <w:jc w:val="center"/>
        </w:trPr>
        <w:tc>
          <w:tcPr>
            <w:tcW w:w="2186" w:type="dxa"/>
            <w:gridSpan w:val="2"/>
            <w:vMerge w:val="continue"/>
            <w:vAlign w:val="center"/>
          </w:tcPr>
          <w:p w14:paraId="2038550D">
            <w:pPr>
              <w:widowControl w:val="0"/>
              <w:jc w:val="center"/>
              <w:rPr>
                <w:highlight w:val="none"/>
              </w:rPr>
            </w:pPr>
          </w:p>
        </w:tc>
        <w:tc>
          <w:tcPr>
            <w:tcW w:w="1580" w:type="dxa"/>
            <w:vAlign w:val="center"/>
          </w:tcPr>
          <w:p w14:paraId="7B180C2F">
            <w:pPr>
              <w:widowControl w:val="0"/>
              <w:jc w:val="center"/>
              <w:rPr>
                <w:highlight w:val="none"/>
              </w:rPr>
            </w:pPr>
            <w:r>
              <w:rPr>
                <w:rFonts w:hint="eastAsia" w:ascii="宋体" w:hAnsi="宋体" w:eastAsia="宋体"/>
                <w:b/>
                <w:sz w:val="21"/>
                <w:szCs w:val="21"/>
                <w:highlight w:val="none"/>
              </w:rPr>
              <w:t>数量</w:t>
            </w:r>
          </w:p>
        </w:tc>
        <w:tc>
          <w:tcPr>
            <w:tcW w:w="1588" w:type="dxa"/>
            <w:vAlign w:val="center"/>
          </w:tcPr>
          <w:p w14:paraId="21AF47E9">
            <w:pPr>
              <w:widowControl w:val="0"/>
              <w:jc w:val="center"/>
              <w:rPr>
                <w:highlight w:val="none"/>
              </w:rPr>
            </w:pPr>
            <w:r>
              <w:rPr>
                <w:rFonts w:hint="eastAsia" w:ascii="宋体" w:hAnsi="宋体" w:eastAsia="宋体"/>
                <w:b/>
                <w:sz w:val="21"/>
                <w:szCs w:val="21"/>
                <w:highlight w:val="none"/>
              </w:rPr>
              <w:t>比例（%）</w:t>
            </w:r>
          </w:p>
        </w:tc>
        <w:tc>
          <w:tcPr>
            <w:tcW w:w="1637" w:type="dxa"/>
            <w:vAlign w:val="center"/>
          </w:tcPr>
          <w:p w14:paraId="52F922D5">
            <w:pPr>
              <w:widowControl w:val="0"/>
              <w:jc w:val="center"/>
              <w:rPr>
                <w:highlight w:val="none"/>
              </w:rPr>
            </w:pPr>
            <w:r>
              <w:rPr>
                <w:rFonts w:hint="eastAsia" w:ascii="宋体" w:hAnsi="宋体" w:eastAsia="宋体"/>
                <w:b/>
                <w:sz w:val="21"/>
                <w:szCs w:val="21"/>
                <w:highlight w:val="none"/>
              </w:rPr>
              <w:t>数量</w:t>
            </w:r>
          </w:p>
        </w:tc>
        <w:tc>
          <w:tcPr>
            <w:tcW w:w="1531" w:type="dxa"/>
            <w:vAlign w:val="center"/>
          </w:tcPr>
          <w:p w14:paraId="29CAA010">
            <w:pPr>
              <w:widowControl w:val="0"/>
              <w:jc w:val="center"/>
              <w:rPr>
                <w:highlight w:val="none"/>
              </w:rPr>
            </w:pPr>
            <w:r>
              <w:rPr>
                <w:rFonts w:hint="eastAsia" w:ascii="宋体" w:hAnsi="宋体" w:eastAsia="宋体"/>
                <w:b/>
                <w:sz w:val="21"/>
                <w:szCs w:val="21"/>
                <w:highlight w:val="none"/>
              </w:rPr>
              <w:t>比例（%）</w:t>
            </w:r>
          </w:p>
        </w:tc>
      </w:tr>
      <w:tr w14:paraId="4E2815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6" w:hRule="atLeast"/>
          <w:jc w:val="center"/>
        </w:trPr>
        <w:tc>
          <w:tcPr>
            <w:tcW w:w="2186" w:type="dxa"/>
            <w:gridSpan w:val="2"/>
            <w:vAlign w:val="center"/>
          </w:tcPr>
          <w:p w14:paraId="023F3F20">
            <w:pPr>
              <w:widowControl w:val="0"/>
              <w:jc w:val="center"/>
              <w:rPr>
                <w:rFonts w:hint="eastAsia" w:ascii="宋体" w:hAnsi="宋体" w:eastAsia="宋体"/>
                <w:b/>
                <w:sz w:val="21"/>
                <w:szCs w:val="21"/>
                <w:highlight w:val="none"/>
              </w:rPr>
            </w:pPr>
            <w:r>
              <w:rPr>
                <w:rFonts w:hint="eastAsia" w:ascii="宋体" w:hAnsi="宋体" w:eastAsia="宋体"/>
                <w:b/>
                <w:sz w:val="21"/>
                <w:szCs w:val="21"/>
                <w:highlight w:val="none"/>
              </w:rPr>
              <w:t>总计</w:t>
            </w:r>
          </w:p>
        </w:tc>
        <w:tc>
          <w:tcPr>
            <w:tcW w:w="1580" w:type="dxa"/>
            <w:vAlign w:val="center"/>
          </w:tcPr>
          <w:p w14:paraId="4B344037">
            <w:pPr>
              <w:widowControl w:val="0"/>
              <w:jc w:val="center"/>
              <w:rPr>
                <w:rFonts w:hint="default" w:eastAsiaTheme="minorEastAsia"/>
                <w:highlight w:val="none"/>
                <w:lang w:val="en-US" w:eastAsia="zh-CN"/>
              </w:rPr>
            </w:pPr>
            <w:r>
              <w:rPr>
                <w:rFonts w:hint="eastAsia"/>
                <w:highlight w:val="none"/>
                <w:lang w:val="en-US" w:eastAsia="zh-CN"/>
              </w:rPr>
              <w:t>779</w:t>
            </w:r>
          </w:p>
        </w:tc>
        <w:tc>
          <w:tcPr>
            <w:tcW w:w="1588" w:type="dxa"/>
            <w:vAlign w:val="center"/>
          </w:tcPr>
          <w:p w14:paraId="0CE8CB53">
            <w:pPr>
              <w:widowControl w:val="0"/>
              <w:jc w:val="center"/>
              <w:rPr>
                <w:highlight w:val="none"/>
              </w:rPr>
            </w:pPr>
            <w:r>
              <w:rPr>
                <w:rFonts w:hint="eastAsia" w:ascii="宋体" w:hAnsi="宋体" w:eastAsia="宋体"/>
                <w:sz w:val="21"/>
                <w:szCs w:val="21"/>
                <w:highlight w:val="none"/>
              </w:rPr>
              <w:t>/</w:t>
            </w:r>
          </w:p>
        </w:tc>
        <w:tc>
          <w:tcPr>
            <w:tcW w:w="1637" w:type="dxa"/>
            <w:vAlign w:val="center"/>
          </w:tcPr>
          <w:p w14:paraId="7A260942">
            <w:pPr>
              <w:widowControl w:val="0"/>
              <w:jc w:val="center"/>
              <w:rPr>
                <w:rFonts w:hint="default" w:eastAsiaTheme="minorEastAsia"/>
                <w:highlight w:val="none"/>
                <w:lang w:val="en-US" w:eastAsia="zh-CN"/>
              </w:rPr>
            </w:pPr>
            <w:r>
              <w:rPr>
                <w:rFonts w:hint="eastAsia"/>
                <w:highlight w:val="none"/>
                <w:lang w:val="en-US" w:eastAsia="zh-CN"/>
              </w:rPr>
              <w:t>179</w:t>
            </w:r>
          </w:p>
        </w:tc>
        <w:tc>
          <w:tcPr>
            <w:tcW w:w="1531" w:type="dxa"/>
            <w:vAlign w:val="center"/>
          </w:tcPr>
          <w:p w14:paraId="522DDC5E">
            <w:pPr>
              <w:widowControl w:val="0"/>
              <w:jc w:val="center"/>
              <w:rPr>
                <w:highlight w:val="none"/>
              </w:rPr>
            </w:pPr>
            <w:r>
              <w:rPr>
                <w:rFonts w:hint="eastAsia" w:ascii="宋体" w:hAnsi="宋体" w:eastAsia="宋体"/>
                <w:sz w:val="21"/>
                <w:szCs w:val="21"/>
                <w:highlight w:val="none"/>
              </w:rPr>
              <w:t>/</w:t>
            </w:r>
          </w:p>
        </w:tc>
      </w:tr>
      <w:tr w14:paraId="559ECF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restart"/>
            <w:vAlign w:val="center"/>
          </w:tcPr>
          <w:p w14:paraId="41532854">
            <w:pPr>
              <w:widowControl w:val="0"/>
              <w:jc w:val="center"/>
              <w:rPr>
                <w:highlight w:val="none"/>
              </w:rPr>
            </w:pPr>
            <w:r>
              <w:rPr>
                <w:rFonts w:hint="eastAsia" w:ascii="宋体" w:hAnsi="宋体" w:eastAsia="宋体"/>
                <w:b/>
                <w:sz w:val="21"/>
                <w:szCs w:val="21"/>
                <w:highlight w:val="none"/>
              </w:rPr>
              <w:t>职称</w:t>
            </w:r>
          </w:p>
        </w:tc>
        <w:tc>
          <w:tcPr>
            <w:tcW w:w="1405" w:type="dxa"/>
            <w:vAlign w:val="center"/>
          </w:tcPr>
          <w:p w14:paraId="48998C78">
            <w:pPr>
              <w:widowControl w:val="0"/>
              <w:jc w:val="center"/>
              <w:rPr>
                <w:rFonts w:hint="eastAsia" w:ascii="宋体" w:hAnsi="宋体" w:eastAsia="宋体"/>
                <w:b/>
                <w:sz w:val="21"/>
                <w:szCs w:val="21"/>
                <w:highlight w:val="none"/>
              </w:rPr>
            </w:pPr>
            <w:r>
              <w:rPr>
                <w:rFonts w:hint="eastAsia" w:ascii="宋体" w:hAnsi="宋体" w:eastAsia="宋体"/>
                <w:b/>
                <w:sz w:val="21"/>
                <w:szCs w:val="21"/>
                <w:highlight w:val="none"/>
              </w:rPr>
              <w:t>正高级</w:t>
            </w:r>
          </w:p>
        </w:tc>
        <w:tc>
          <w:tcPr>
            <w:tcW w:w="1580" w:type="dxa"/>
            <w:vAlign w:val="center"/>
          </w:tcPr>
          <w:p w14:paraId="22AEA3A1">
            <w:pPr>
              <w:widowControl w:val="0"/>
              <w:jc w:val="center"/>
              <w:rPr>
                <w:rFonts w:hint="default" w:eastAsiaTheme="minorEastAsia"/>
                <w:highlight w:val="none"/>
                <w:lang w:val="en-US" w:eastAsia="zh-CN"/>
              </w:rPr>
            </w:pPr>
            <w:r>
              <w:rPr>
                <w:rFonts w:hint="eastAsia"/>
                <w:highlight w:val="none"/>
                <w:lang w:val="en-US" w:eastAsia="zh-CN"/>
              </w:rPr>
              <w:t>6</w:t>
            </w:r>
          </w:p>
        </w:tc>
        <w:tc>
          <w:tcPr>
            <w:tcW w:w="1588" w:type="dxa"/>
            <w:vAlign w:val="center"/>
          </w:tcPr>
          <w:p w14:paraId="308323B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0.77 </w:t>
            </w:r>
          </w:p>
        </w:tc>
        <w:tc>
          <w:tcPr>
            <w:tcW w:w="1637" w:type="dxa"/>
            <w:vAlign w:val="center"/>
          </w:tcPr>
          <w:p w14:paraId="0ECE3237">
            <w:pPr>
              <w:widowControl w:val="0"/>
              <w:jc w:val="center"/>
              <w:rPr>
                <w:rFonts w:hint="default" w:eastAsiaTheme="minorEastAsia"/>
                <w:highlight w:val="none"/>
                <w:lang w:val="en-US" w:eastAsia="zh-CN"/>
              </w:rPr>
            </w:pPr>
            <w:r>
              <w:rPr>
                <w:rFonts w:hint="eastAsia"/>
                <w:highlight w:val="none"/>
                <w:lang w:val="en-US" w:eastAsia="zh-CN"/>
              </w:rPr>
              <w:t>68</w:t>
            </w:r>
          </w:p>
        </w:tc>
        <w:tc>
          <w:tcPr>
            <w:tcW w:w="1531" w:type="dxa"/>
            <w:vAlign w:val="center"/>
          </w:tcPr>
          <w:p w14:paraId="574A4BB9">
            <w:pPr>
              <w:widowControl w:val="0"/>
              <w:jc w:val="center"/>
              <w:rPr>
                <w:rFonts w:hint="default"/>
                <w:highlight w:val="none"/>
                <w:lang w:val="en-US"/>
              </w:rPr>
            </w:pPr>
            <w:r>
              <w:rPr>
                <w:rFonts w:hint="eastAsia"/>
                <w:highlight w:val="none"/>
                <w:lang w:val="en-US" w:eastAsia="zh-CN"/>
              </w:rPr>
              <w:t>37.99</w:t>
            </w:r>
          </w:p>
        </w:tc>
      </w:tr>
      <w:tr w14:paraId="0E06CB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05E1BD06">
            <w:pPr>
              <w:widowControl w:val="0"/>
              <w:jc w:val="center"/>
              <w:rPr>
                <w:highlight w:val="none"/>
              </w:rPr>
            </w:pPr>
          </w:p>
        </w:tc>
        <w:tc>
          <w:tcPr>
            <w:tcW w:w="1405" w:type="dxa"/>
            <w:vAlign w:val="center"/>
          </w:tcPr>
          <w:p w14:paraId="5ABBB2A5">
            <w:pPr>
              <w:widowControl w:val="0"/>
              <w:jc w:val="center"/>
              <w:rPr>
                <w:rFonts w:hint="eastAsia" w:ascii="宋体" w:hAnsi="宋体" w:eastAsia="宋体"/>
                <w:b/>
                <w:sz w:val="21"/>
                <w:szCs w:val="21"/>
                <w:highlight w:val="none"/>
              </w:rPr>
            </w:pPr>
            <w:r>
              <w:rPr>
                <w:rFonts w:hint="eastAsia" w:ascii="宋体" w:hAnsi="宋体" w:eastAsia="宋体"/>
                <w:b/>
                <w:sz w:val="21"/>
                <w:szCs w:val="21"/>
                <w:highlight w:val="none"/>
              </w:rPr>
              <w:t>其中教授</w:t>
            </w:r>
          </w:p>
        </w:tc>
        <w:tc>
          <w:tcPr>
            <w:tcW w:w="1580" w:type="dxa"/>
            <w:vAlign w:val="center"/>
          </w:tcPr>
          <w:p w14:paraId="19E53E5E">
            <w:pPr>
              <w:widowControl w:val="0"/>
              <w:jc w:val="center"/>
              <w:rPr>
                <w:rFonts w:hint="default" w:eastAsiaTheme="minorEastAsia"/>
                <w:highlight w:val="none"/>
                <w:lang w:val="en-US" w:eastAsia="zh-CN"/>
              </w:rPr>
            </w:pPr>
            <w:r>
              <w:rPr>
                <w:rFonts w:hint="eastAsia"/>
                <w:highlight w:val="none"/>
                <w:lang w:val="en-US" w:eastAsia="zh-CN"/>
              </w:rPr>
              <w:t>6</w:t>
            </w:r>
          </w:p>
        </w:tc>
        <w:tc>
          <w:tcPr>
            <w:tcW w:w="1588" w:type="dxa"/>
            <w:vAlign w:val="center"/>
          </w:tcPr>
          <w:p w14:paraId="07F74D4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0.77 </w:t>
            </w:r>
          </w:p>
        </w:tc>
        <w:tc>
          <w:tcPr>
            <w:tcW w:w="1637" w:type="dxa"/>
            <w:vAlign w:val="center"/>
          </w:tcPr>
          <w:p w14:paraId="35939EFA">
            <w:pPr>
              <w:widowControl w:val="0"/>
              <w:jc w:val="center"/>
              <w:rPr>
                <w:rFonts w:hint="default" w:eastAsiaTheme="minorEastAsia"/>
                <w:highlight w:val="none"/>
                <w:lang w:val="en-US" w:eastAsia="zh-CN"/>
              </w:rPr>
            </w:pPr>
            <w:r>
              <w:rPr>
                <w:rFonts w:hint="eastAsia"/>
                <w:highlight w:val="none"/>
                <w:lang w:val="en-US" w:eastAsia="zh-CN"/>
              </w:rPr>
              <w:t>33</w:t>
            </w:r>
          </w:p>
        </w:tc>
        <w:tc>
          <w:tcPr>
            <w:tcW w:w="1531" w:type="dxa"/>
            <w:vAlign w:val="center"/>
          </w:tcPr>
          <w:p w14:paraId="3891D515">
            <w:pPr>
              <w:widowControl w:val="0"/>
              <w:jc w:val="center"/>
              <w:rPr>
                <w:highlight w:val="none"/>
              </w:rPr>
            </w:pPr>
            <w:r>
              <w:rPr>
                <w:rFonts w:hint="eastAsia"/>
                <w:highlight w:val="none"/>
                <w:lang w:val="en-US" w:eastAsia="zh-CN"/>
              </w:rPr>
              <w:t>18.44</w:t>
            </w:r>
          </w:p>
        </w:tc>
      </w:tr>
      <w:tr w14:paraId="7FB1C4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0236DBB1">
            <w:pPr>
              <w:widowControl w:val="0"/>
              <w:jc w:val="center"/>
              <w:rPr>
                <w:highlight w:val="none"/>
              </w:rPr>
            </w:pPr>
          </w:p>
        </w:tc>
        <w:tc>
          <w:tcPr>
            <w:tcW w:w="1405" w:type="dxa"/>
            <w:vAlign w:val="center"/>
          </w:tcPr>
          <w:p w14:paraId="4EFD4DC2">
            <w:pPr>
              <w:widowControl w:val="0"/>
              <w:jc w:val="center"/>
              <w:rPr>
                <w:rFonts w:hint="eastAsia" w:ascii="宋体" w:hAnsi="宋体" w:eastAsia="宋体"/>
                <w:b/>
                <w:sz w:val="21"/>
                <w:szCs w:val="21"/>
                <w:highlight w:val="none"/>
              </w:rPr>
            </w:pPr>
            <w:r>
              <w:rPr>
                <w:rFonts w:hint="eastAsia" w:ascii="宋体" w:hAnsi="宋体" w:eastAsia="宋体"/>
                <w:b/>
                <w:sz w:val="21"/>
                <w:szCs w:val="21"/>
                <w:highlight w:val="none"/>
              </w:rPr>
              <w:t>副高级</w:t>
            </w:r>
          </w:p>
        </w:tc>
        <w:tc>
          <w:tcPr>
            <w:tcW w:w="1580" w:type="dxa"/>
            <w:vAlign w:val="center"/>
          </w:tcPr>
          <w:p w14:paraId="25B0ACC2">
            <w:pPr>
              <w:widowControl w:val="0"/>
              <w:jc w:val="center"/>
              <w:rPr>
                <w:rFonts w:hint="default" w:eastAsiaTheme="minorEastAsia"/>
                <w:highlight w:val="none"/>
                <w:lang w:val="en-US" w:eastAsia="zh-CN"/>
              </w:rPr>
            </w:pPr>
            <w:r>
              <w:rPr>
                <w:rFonts w:hint="eastAsia"/>
                <w:highlight w:val="none"/>
                <w:lang w:val="en-US" w:eastAsia="zh-CN"/>
              </w:rPr>
              <w:t>56</w:t>
            </w:r>
          </w:p>
        </w:tc>
        <w:tc>
          <w:tcPr>
            <w:tcW w:w="1588" w:type="dxa"/>
            <w:vAlign w:val="center"/>
          </w:tcPr>
          <w:p w14:paraId="56FBB72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7.19 </w:t>
            </w:r>
          </w:p>
        </w:tc>
        <w:tc>
          <w:tcPr>
            <w:tcW w:w="1637" w:type="dxa"/>
            <w:vAlign w:val="center"/>
          </w:tcPr>
          <w:p w14:paraId="0ACDB2F0">
            <w:pPr>
              <w:widowControl w:val="0"/>
              <w:jc w:val="center"/>
              <w:rPr>
                <w:rFonts w:hint="default" w:eastAsiaTheme="minorEastAsia"/>
                <w:highlight w:val="none"/>
                <w:lang w:val="en-US" w:eastAsia="zh-CN"/>
              </w:rPr>
            </w:pPr>
            <w:r>
              <w:rPr>
                <w:rFonts w:hint="eastAsia"/>
                <w:highlight w:val="none"/>
                <w:lang w:val="en-US" w:eastAsia="zh-CN"/>
              </w:rPr>
              <w:t>89</w:t>
            </w:r>
          </w:p>
        </w:tc>
        <w:tc>
          <w:tcPr>
            <w:tcW w:w="1531" w:type="dxa"/>
            <w:vAlign w:val="center"/>
          </w:tcPr>
          <w:p w14:paraId="30A306C4">
            <w:pPr>
              <w:widowControl w:val="0"/>
              <w:jc w:val="center"/>
              <w:rPr>
                <w:rFonts w:hint="default"/>
                <w:highlight w:val="none"/>
                <w:lang w:val="en-US"/>
              </w:rPr>
            </w:pPr>
            <w:r>
              <w:rPr>
                <w:rFonts w:hint="eastAsia"/>
                <w:highlight w:val="none"/>
                <w:lang w:val="en-US" w:eastAsia="zh-CN"/>
              </w:rPr>
              <w:t>49.72</w:t>
            </w:r>
          </w:p>
        </w:tc>
      </w:tr>
      <w:tr w14:paraId="4562C1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44AA5FBA">
            <w:pPr>
              <w:widowControl w:val="0"/>
              <w:jc w:val="center"/>
              <w:rPr>
                <w:highlight w:val="none"/>
              </w:rPr>
            </w:pPr>
          </w:p>
        </w:tc>
        <w:tc>
          <w:tcPr>
            <w:tcW w:w="1405" w:type="dxa"/>
            <w:vAlign w:val="center"/>
          </w:tcPr>
          <w:p w14:paraId="59FD1640">
            <w:pPr>
              <w:widowControl w:val="0"/>
              <w:jc w:val="center"/>
              <w:rPr>
                <w:rFonts w:hint="eastAsia" w:ascii="宋体" w:hAnsi="宋体" w:eastAsia="宋体"/>
                <w:b/>
                <w:sz w:val="21"/>
                <w:szCs w:val="21"/>
                <w:highlight w:val="none"/>
              </w:rPr>
            </w:pPr>
            <w:r>
              <w:rPr>
                <w:rFonts w:hint="eastAsia" w:ascii="宋体" w:hAnsi="宋体" w:eastAsia="宋体"/>
                <w:b/>
                <w:sz w:val="21"/>
                <w:szCs w:val="21"/>
                <w:highlight w:val="none"/>
              </w:rPr>
              <w:t>其中副教授</w:t>
            </w:r>
          </w:p>
        </w:tc>
        <w:tc>
          <w:tcPr>
            <w:tcW w:w="1580" w:type="dxa"/>
            <w:vAlign w:val="center"/>
          </w:tcPr>
          <w:p w14:paraId="3F20B80D">
            <w:pPr>
              <w:widowControl w:val="0"/>
              <w:jc w:val="center"/>
              <w:rPr>
                <w:rFonts w:hint="default" w:eastAsiaTheme="minorEastAsia"/>
                <w:highlight w:val="none"/>
                <w:lang w:val="en-US" w:eastAsia="zh-CN"/>
              </w:rPr>
            </w:pPr>
            <w:r>
              <w:rPr>
                <w:rFonts w:hint="eastAsia"/>
                <w:highlight w:val="none"/>
                <w:lang w:val="en-US" w:eastAsia="zh-CN"/>
              </w:rPr>
              <w:t>48</w:t>
            </w:r>
          </w:p>
        </w:tc>
        <w:tc>
          <w:tcPr>
            <w:tcW w:w="1588" w:type="dxa"/>
            <w:vAlign w:val="center"/>
          </w:tcPr>
          <w:p w14:paraId="1BCF7CB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6.16 </w:t>
            </w:r>
          </w:p>
        </w:tc>
        <w:tc>
          <w:tcPr>
            <w:tcW w:w="1637" w:type="dxa"/>
            <w:vAlign w:val="center"/>
          </w:tcPr>
          <w:p w14:paraId="464176D2">
            <w:pPr>
              <w:widowControl w:val="0"/>
              <w:jc w:val="center"/>
              <w:rPr>
                <w:rFonts w:hint="default" w:eastAsiaTheme="minorEastAsia"/>
                <w:highlight w:val="none"/>
                <w:lang w:val="en-US" w:eastAsia="zh-CN"/>
              </w:rPr>
            </w:pPr>
            <w:r>
              <w:rPr>
                <w:rFonts w:hint="eastAsia"/>
                <w:highlight w:val="none"/>
                <w:lang w:val="en-US" w:eastAsia="zh-CN"/>
              </w:rPr>
              <w:t>36</w:t>
            </w:r>
          </w:p>
        </w:tc>
        <w:tc>
          <w:tcPr>
            <w:tcW w:w="1531" w:type="dxa"/>
            <w:vAlign w:val="center"/>
          </w:tcPr>
          <w:p w14:paraId="3A4D2940">
            <w:pPr>
              <w:widowControl w:val="0"/>
              <w:jc w:val="center"/>
              <w:rPr>
                <w:highlight w:val="none"/>
              </w:rPr>
            </w:pPr>
            <w:r>
              <w:rPr>
                <w:rFonts w:hint="eastAsia"/>
                <w:highlight w:val="none"/>
                <w:lang w:val="en-US" w:eastAsia="zh-CN"/>
              </w:rPr>
              <w:t>20.11</w:t>
            </w:r>
          </w:p>
        </w:tc>
      </w:tr>
      <w:tr w14:paraId="20D064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3EDC142A">
            <w:pPr>
              <w:widowControl w:val="0"/>
              <w:jc w:val="center"/>
              <w:rPr>
                <w:highlight w:val="none"/>
              </w:rPr>
            </w:pPr>
          </w:p>
        </w:tc>
        <w:tc>
          <w:tcPr>
            <w:tcW w:w="1405" w:type="dxa"/>
            <w:vAlign w:val="center"/>
          </w:tcPr>
          <w:p w14:paraId="56DCEC73">
            <w:pPr>
              <w:widowControl w:val="0"/>
              <w:jc w:val="center"/>
              <w:rPr>
                <w:highlight w:val="none"/>
              </w:rPr>
            </w:pPr>
            <w:r>
              <w:rPr>
                <w:rFonts w:hint="eastAsia" w:ascii="宋体" w:hAnsi="宋体" w:eastAsia="宋体"/>
                <w:b/>
                <w:sz w:val="21"/>
                <w:szCs w:val="21"/>
                <w:highlight w:val="none"/>
              </w:rPr>
              <w:t>中级</w:t>
            </w:r>
          </w:p>
        </w:tc>
        <w:tc>
          <w:tcPr>
            <w:tcW w:w="1580" w:type="dxa"/>
            <w:vAlign w:val="center"/>
          </w:tcPr>
          <w:p w14:paraId="1B42A10C">
            <w:pPr>
              <w:widowControl w:val="0"/>
              <w:jc w:val="center"/>
              <w:rPr>
                <w:rFonts w:hint="default" w:eastAsiaTheme="minorEastAsia"/>
                <w:highlight w:val="none"/>
                <w:lang w:val="en-US" w:eastAsia="zh-CN"/>
              </w:rPr>
            </w:pPr>
            <w:r>
              <w:rPr>
                <w:rFonts w:hint="eastAsia"/>
                <w:highlight w:val="none"/>
                <w:lang w:val="en-US" w:eastAsia="zh-CN"/>
              </w:rPr>
              <w:t>125</w:t>
            </w:r>
          </w:p>
        </w:tc>
        <w:tc>
          <w:tcPr>
            <w:tcW w:w="1588" w:type="dxa"/>
            <w:vAlign w:val="center"/>
          </w:tcPr>
          <w:p w14:paraId="6CBE15CB">
            <w:pPr>
              <w:keepNext w:val="0"/>
              <w:keepLines w:val="0"/>
              <w:widowControl/>
              <w:suppressLineNumbers w:val="0"/>
              <w:jc w:val="center"/>
              <w:textAlignment w:val="center"/>
              <w:rPr>
                <w:rFonts w:hint="default" w:asciiTheme="minorHAnsi" w:hAnsiTheme="minorHAnsi" w:eastAsiaTheme="minorEastAsia" w:cstheme="minorBidi"/>
                <w:kern w:val="2"/>
                <w:sz w:val="21"/>
                <w:szCs w:val="22"/>
                <w:highlight w:val="none"/>
                <w:lang w:val="en-US" w:eastAsia="zh-CN" w:bidi="ar-SA"/>
              </w:rPr>
            </w:pPr>
            <w:r>
              <w:rPr>
                <w:rFonts w:hint="default" w:ascii="Arial" w:hAnsi="Arial" w:eastAsia="宋体" w:cs="Arial"/>
                <w:i w:val="0"/>
                <w:iCs w:val="0"/>
                <w:snapToGrid w:val="0"/>
                <w:color w:val="000000"/>
                <w:kern w:val="0"/>
                <w:sz w:val="21"/>
                <w:szCs w:val="21"/>
                <w:highlight w:val="none"/>
                <w:u w:val="none"/>
                <w:lang w:val="en-US" w:eastAsia="zh-CN" w:bidi="ar"/>
              </w:rPr>
              <w:t xml:space="preserve">16.05 </w:t>
            </w:r>
          </w:p>
        </w:tc>
        <w:tc>
          <w:tcPr>
            <w:tcW w:w="1637" w:type="dxa"/>
            <w:vAlign w:val="center"/>
          </w:tcPr>
          <w:p w14:paraId="0FA83C9B">
            <w:pPr>
              <w:widowControl w:val="0"/>
              <w:jc w:val="center"/>
              <w:rPr>
                <w:rFonts w:hint="default" w:eastAsiaTheme="minorEastAsia"/>
                <w:highlight w:val="none"/>
                <w:lang w:val="en-US" w:eastAsia="zh-CN"/>
              </w:rPr>
            </w:pPr>
            <w:r>
              <w:rPr>
                <w:rFonts w:hint="eastAsia"/>
                <w:highlight w:val="none"/>
                <w:lang w:val="en-US" w:eastAsia="zh-CN"/>
              </w:rPr>
              <w:t>22</w:t>
            </w:r>
          </w:p>
        </w:tc>
        <w:tc>
          <w:tcPr>
            <w:tcW w:w="1531" w:type="dxa"/>
            <w:vAlign w:val="center"/>
          </w:tcPr>
          <w:p w14:paraId="4474B1B9">
            <w:pPr>
              <w:widowControl w:val="0"/>
              <w:jc w:val="center"/>
              <w:rPr>
                <w:highlight w:val="none"/>
              </w:rPr>
            </w:pPr>
            <w:r>
              <w:rPr>
                <w:rFonts w:hint="eastAsia"/>
                <w:highlight w:val="none"/>
                <w:lang w:val="en-US" w:eastAsia="zh-CN"/>
              </w:rPr>
              <w:t>12.29</w:t>
            </w:r>
          </w:p>
        </w:tc>
      </w:tr>
      <w:tr w14:paraId="7B4123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089EC9B2">
            <w:pPr>
              <w:widowControl w:val="0"/>
              <w:jc w:val="center"/>
              <w:rPr>
                <w:highlight w:val="none"/>
              </w:rPr>
            </w:pPr>
          </w:p>
        </w:tc>
        <w:tc>
          <w:tcPr>
            <w:tcW w:w="1405" w:type="dxa"/>
            <w:vAlign w:val="center"/>
          </w:tcPr>
          <w:p w14:paraId="1C6D1F04">
            <w:pPr>
              <w:widowControl w:val="0"/>
              <w:jc w:val="center"/>
              <w:rPr>
                <w:highlight w:val="none"/>
              </w:rPr>
            </w:pPr>
            <w:r>
              <w:rPr>
                <w:rFonts w:hint="eastAsia" w:ascii="宋体" w:hAnsi="宋体" w:eastAsia="宋体"/>
                <w:b/>
                <w:sz w:val="21"/>
                <w:szCs w:val="21"/>
                <w:highlight w:val="none"/>
              </w:rPr>
              <w:t>其中讲师</w:t>
            </w:r>
          </w:p>
        </w:tc>
        <w:tc>
          <w:tcPr>
            <w:tcW w:w="1580" w:type="dxa"/>
            <w:vAlign w:val="center"/>
          </w:tcPr>
          <w:p w14:paraId="7EDE0115">
            <w:pPr>
              <w:widowControl w:val="0"/>
              <w:jc w:val="center"/>
              <w:rPr>
                <w:rFonts w:hint="default" w:eastAsiaTheme="minorEastAsia"/>
                <w:highlight w:val="none"/>
                <w:lang w:val="en-US" w:eastAsia="zh-CN"/>
              </w:rPr>
            </w:pPr>
            <w:r>
              <w:rPr>
                <w:rFonts w:hint="eastAsia"/>
                <w:highlight w:val="none"/>
                <w:lang w:val="en-US" w:eastAsia="zh-CN"/>
              </w:rPr>
              <w:t>103</w:t>
            </w:r>
          </w:p>
        </w:tc>
        <w:tc>
          <w:tcPr>
            <w:tcW w:w="1588" w:type="dxa"/>
            <w:vAlign w:val="center"/>
          </w:tcPr>
          <w:p w14:paraId="734B734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13.22 </w:t>
            </w:r>
          </w:p>
        </w:tc>
        <w:tc>
          <w:tcPr>
            <w:tcW w:w="1637" w:type="dxa"/>
            <w:vAlign w:val="center"/>
          </w:tcPr>
          <w:p w14:paraId="7F86585F">
            <w:pPr>
              <w:widowControl w:val="0"/>
              <w:jc w:val="center"/>
              <w:rPr>
                <w:rFonts w:hint="default" w:eastAsiaTheme="minorEastAsia"/>
                <w:highlight w:val="none"/>
                <w:lang w:val="en-US" w:eastAsia="zh-CN"/>
              </w:rPr>
            </w:pPr>
            <w:r>
              <w:rPr>
                <w:rFonts w:hint="eastAsia"/>
                <w:highlight w:val="none"/>
                <w:lang w:val="en-US" w:eastAsia="zh-CN"/>
              </w:rPr>
              <w:t>3</w:t>
            </w:r>
          </w:p>
        </w:tc>
        <w:tc>
          <w:tcPr>
            <w:tcW w:w="1531" w:type="dxa"/>
            <w:vAlign w:val="center"/>
          </w:tcPr>
          <w:p w14:paraId="6A78D756">
            <w:pPr>
              <w:widowControl w:val="0"/>
              <w:jc w:val="center"/>
              <w:rPr>
                <w:highlight w:val="none"/>
              </w:rPr>
            </w:pPr>
            <w:r>
              <w:rPr>
                <w:rFonts w:hint="eastAsia"/>
                <w:highlight w:val="none"/>
                <w:lang w:val="en-US" w:eastAsia="zh-CN"/>
              </w:rPr>
              <w:t>1.68</w:t>
            </w:r>
          </w:p>
        </w:tc>
      </w:tr>
      <w:tr w14:paraId="4F6FA1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0A447A08">
            <w:pPr>
              <w:widowControl w:val="0"/>
              <w:jc w:val="center"/>
              <w:rPr>
                <w:highlight w:val="none"/>
              </w:rPr>
            </w:pPr>
          </w:p>
        </w:tc>
        <w:tc>
          <w:tcPr>
            <w:tcW w:w="1405" w:type="dxa"/>
            <w:vAlign w:val="center"/>
          </w:tcPr>
          <w:p w14:paraId="0BC6E147">
            <w:pPr>
              <w:widowControl w:val="0"/>
              <w:jc w:val="center"/>
              <w:rPr>
                <w:highlight w:val="none"/>
              </w:rPr>
            </w:pPr>
            <w:r>
              <w:rPr>
                <w:rFonts w:hint="eastAsia" w:ascii="宋体" w:hAnsi="宋体" w:eastAsia="宋体"/>
                <w:b/>
                <w:sz w:val="21"/>
                <w:szCs w:val="21"/>
                <w:highlight w:val="none"/>
              </w:rPr>
              <w:t>初级</w:t>
            </w:r>
          </w:p>
        </w:tc>
        <w:tc>
          <w:tcPr>
            <w:tcW w:w="1580" w:type="dxa"/>
            <w:vAlign w:val="center"/>
          </w:tcPr>
          <w:p w14:paraId="4CA33F09">
            <w:pPr>
              <w:widowControl w:val="0"/>
              <w:jc w:val="center"/>
              <w:rPr>
                <w:rFonts w:hint="default" w:eastAsiaTheme="minorEastAsia"/>
                <w:highlight w:val="none"/>
                <w:lang w:val="en-US" w:eastAsia="zh-CN"/>
              </w:rPr>
            </w:pPr>
            <w:r>
              <w:rPr>
                <w:rFonts w:hint="eastAsia"/>
                <w:highlight w:val="none"/>
                <w:lang w:val="en-US" w:eastAsia="zh-CN"/>
              </w:rPr>
              <w:t>362</w:t>
            </w:r>
          </w:p>
        </w:tc>
        <w:tc>
          <w:tcPr>
            <w:tcW w:w="1588" w:type="dxa"/>
            <w:vAlign w:val="center"/>
          </w:tcPr>
          <w:p w14:paraId="6C992C5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46.47 </w:t>
            </w:r>
          </w:p>
        </w:tc>
        <w:tc>
          <w:tcPr>
            <w:tcW w:w="1637" w:type="dxa"/>
            <w:vAlign w:val="center"/>
          </w:tcPr>
          <w:p w14:paraId="1DDB88AC">
            <w:pPr>
              <w:widowControl w:val="0"/>
              <w:jc w:val="center"/>
              <w:rPr>
                <w:rFonts w:hint="default" w:eastAsiaTheme="minorEastAsia"/>
                <w:highlight w:val="none"/>
                <w:lang w:val="en-US" w:eastAsia="zh-CN"/>
              </w:rPr>
            </w:pPr>
            <w:r>
              <w:rPr>
                <w:rFonts w:hint="eastAsia"/>
                <w:highlight w:val="none"/>
                <w:lang w:val="en-US" w:eastAsia="zh-CN"/>
              </w:rPr>
              <w:t>0</w:t>
            </w:r>
          </w:p>
        </w:tc>
        <w:tc>
          <w:tcPr>
            <w:tcW w:w="1531" w:type="dxa"/>
            <w:vAlign w:val="center"/>
          </w:tcPr>
          <w:p w14:paraId="0A13E727">
            <w:pPr>
              <w:widowControl w:val="0"/>
              <w:jc w:val="center"/>
              <w:rPr>
                <w:highlight w:val="none"/>
              </w:rPr>
            </w:pPr>
            <w:r>
              <w:rPr>
                <w:rFonts w:hint="eastAsia"/>
                <w:highlight w:val="none"/>
                <w:lang w:val="en-US" w:eastAsia="zh-CN"/>
              </w:rPr>
              <w:t>0.00</w:t>
            </w:r>
          </w:p>
        </w:tc>
      </w:tr>
      <w:tr w14:paraId="104C90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3275987A">
            <w:pPr>
              <w:widowControl w:val="0"/>
              <w:jc w:val="center"/>
              <w:rPr>
                <w:highlight w:val="none"/>
              </w:rPr>
            </w:pPr>
          </w:p>
        </w:tc>
        <w:tc>
          <w:tcPr>
            <w:tcW w:w="1405" w:type="dxa"/>
            <w:vAlign w:val="center"/>
          </w:tcPr>
          <w:p w14:paraId="3CC3B222">
            <w:pPr>
              <w:widowControl w:val="0"/>
              <w:jc w:val="center"/>
              <w:rPr>
                <w:highlight w:val="none"/>
              </w:rPr>
            </w:pPr>
            <w:r>
              <w:rPr>
                <w:rFonts w:hint="eastAsia" w:ascii="宋体" w:hAnsi="宋体" w:eastAsia="宋体"/>
                <w:b/>
                <w:sz w:val="21"/>
                <w:szCs w:val="21"/>
                <w:highlight w:val="none"/>
              </w:rPr>
              <w:t>其中助教</w:t>
            </w:r>
          </w:p>
        </w:tc>
        <w:tc>
          <w:tcPr>
            <w:tcW w:w="1580" w:type="dxa"/>
            <w:vAlign w:val="center"/>
          </w:tcPr>
          <w:p w14:paraId="053A19F6">
            <w:pPr>
              <w:widowControl w:val="0"/>
              <w:jc w:val="center"/>
              <w:rPr>
                <w:rFonts w:hint="default" w:eastAsiaTheme="minorEastAsia"/>
                <w:highlight w:val="none"/>
                <w:lang w:val="en-US" w:eastAsia="zh-CN"/>
              </w:rPr>
            </w:pPr>
            <w:r>
              <w:rPr>
                <w:rFonts w:hint="eastAsia"/>
                <w:highlight w:val="none"/>
                <w:lang w:val="en-US" w:eastAsia="zh-CN"/>
              </w:rPr>
              <w:t>362</w:t>
            </w:r>
          </w:p>
        </w:tc>
        <w:tc>
          <w:tcPr>
            <w:tcW w:w="1588" w:type="dxa"/>
            <w:vAlign w:val="center"/>
          </w:tcPr>
          <w:p w14:paraId="11CC09D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46.47 </w:t>
            </w:r>
          </w:p>
        </w:tc>
        <w:tc>
          <w:tcPr>
            <w:tcW w:w="1637" w:type="dxa"/>
            <w:vAlign w:val="center"/>
          </w:tcPr>
          <w:p w14:paraId="76150F0C">
            <w:pPr>
              <w:widowControl w:val="0"/>
              <w:jc w:val="center"/>
              <w:rPr>
                <w:rFonts w:hint="default" w:eastAsiaTheme="minorEastAsia"/>
                <w:highlight w:val="none"/>
                <w:lang w:val="en-US" w:eastAsia="zh-CN"/>
              </w:rPr>
            </w:pPr>
            <w:r>
              <w:rPr>
                <w:rFonts w:hint="eastAsia"/>
                <w:highlight w:val="none"/>
                <w:lang w:val="en-US" w:eastAsia="zh-CN"/>
              </w:rPr>
              <w:t>0</w:t>
            </w:r>
          </w:p>
        </w:tc>
        <w:tc>
          <w:tcPr>
            <w:tcW w:w="1531" w:type="dxa"/>
            <w:vAlign w:val="center"/>
          </w:tcPr>
          <w:p w14:paraId="03879D9D">
            <w:pPr>
              <w:widowControl w:val="0"/>
              <w:jc w:val="center"/>
              <w:rPr>
                <w:highlight w:val="none"/>
              </w:rPr>
            </w:pPr>
            <w:r>
              <w:rPr>
                <w:rFonts w:hint="eastAsia"/>
                <w:highlight w:val="none"/>
                <w:lang w:val="en-US" w:eastAsia="zh-CN"/>
              </w:rPr>
              <w:t>0.00</w:t>
            </w:r>
          </w:p>
        </w:tc>
      </w:tr>
      <w:tr w14:paraId="1D467F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101279DB">
            <w:pPr>
              <w:widowControl w:val="0"/>
              <w:jc w:val="center"/>
              <w:rPr>
                <w:highlight w:val="none"/>
              </w:rPr>
            </w:pPr>
          </w:p>
        </w:tc>
        <w:tc>
          <w:tcPr>
            <w:tcW w:w="1405" w:type="dxa"/>
            <w:vAlign w:val="center"/>
          </w:tcPr>
          <w:p w14:paraId="41484E50">
            <w:pPr>
              <w:widowControl w:val="0"/>
              <w:jc w:val="center"/>
              <w:rPr>
                <w:highlight w:val="none"/>
              </w:rPr>
            </w:pPr>
            <w:r>
              <w:rPr>
                <w:rFonts w:hint="eastAsia" w:ascii="宋体" w:hAnsi="宋体" w:eastAsia="宋体"/>
                <w:b/>
                <w:sz w:val="21"/>
                <w:szCs w:val="21"/>
                <w:highlight w:val="none"/>
              </w:rPr>
              <w:t>未评级</w:t>
            </w:r>
          </w:p>
        </w:tc>
        <w:tc>
          <w:tcPr>
            <w:tcW w:w="1580" w:type="dxa"/>
            <w:vAlign w:val="center"/>
          </w:tcPr>
          <w:p w14:paraId="1942773C">
            <w:pPr>
              <w:widowControl w:val="0"/>
              <w:jc w:val="center"/>
              <w:rPr>
                <w:rFonts w:hint="default" w:eastAsiaTheme="minorEastAsia"/>
                <w:highlight w:val="none"/>
                <w:lang w:val="en-US" w:eastAsia="zh-CN"/>
              </w:rPr>
            </w:pPr>
            <w:r>
              <w:rPr>
                <w:rFonts w:hint="eastAsia"/>
                <w:highlight w:val="none"/>
                <w:lang w:val="en-US" w:eastAsia="zh-CN"/>
              </w:rPr>
              <w:t>230</w:t>
            </w:r>
          </w:p>
        </w:tc>
        <w:tc>
          <w:tcPr>
            <w:tcW w:w="1588" w:type="dxa"/>
            <w:vAlign w:val="center"/>
          </w:tcPr>
          <w:p w14:paraId="0C087A1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29.53 </w:t>
            </w:r>
          </w:p>
        </w:tc>
        <w:tc>
          <w:tcPr>
            <w:tcW w:w="1637" w:type="dxa"/>
            <w:vAlign w:val="center"/>
          </w:tcPr>
          <w:p w14:paraId="2468AA40">
            <w:pPr>
              <w:widowControl w:val="0"/>
              <w:jc w:val="center"/>
              <w:rPr>
                <w:rFonts w:hint="default" w:eastAsiaTheme="minorEastAsia"/>
                <w:highlight w:val="none"/>
                <w:lang w:val="en-US" w:eastAsia="zh-CN"/>
              </w:rPr>
            </w:pPr>
            <w:r>
              <w:rPr>
                <w:rFonts w:hint="eastAsia"/>
                <w:highlight w:val="none"/>
                <w:lang w:val="en-US" w:eastAsia="zh-CN"/>
              </w:rPr>
              <w:t>0</w:t>
            </w:r>
          </w:p>
        </w:tc>
        <w:tc>
          <w:tcPr>
            <w:tcW w:w="1531" w:type="dxa"/>
            <w:vAlign w:val="center"/>
          </w:tcPr>
          <w:p w14:paraId="4210490B">
            <w:pPr>
              <w:widowControl w:val="0"/>
              <w:jc w:val="center"/>
              <w:rPr>
                <w:highlight w:val="none"/>
              </w:rPr>
            </w:pPr>
            <w:r>
              <w:rPr>
                <w:rFonts w:hint="eastAsia"/>
                <w:highlight w:val="none"/>
                <w:lang w:val="en-US" w:eastAsia="zh-CN"/>
              </w:rPr>
              <w:t>0.00</w:t>
            </w:r>
          </w:p>
        </w:tc>
      </w:tr>
      <w:tr w14:paraId="5DB457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restart"/>
            <w:vAlign w:val="center"/>
          </w:tcPr>
          <w:p w14:paraId="0D11BDA6">
            <w:pPr>
              <w:widowControl w:val="0"/>
              <w:jc w:val="center"/>
              <w:rPr>
                <w:highlight w:val="none"/>
              </w:rPr>
            </w:pPr>
            <w:r>
              <w:rPr>
                <w:rFonts w:hint="eastAsia" w:ascii="宋体" w:hAnsi="宋体" w:eastAsia="宋体"/>
                <w:b/>
                <w:sz w:val="21"/>
                <w:szCs w:val="21"/>
                <w:highlight w:val="none"/>
              </w:rPr>
              <w:t>最高学位</w:t>
            </w:r>
          </w:p>
        </w:tc>
        <w:tc>
          <w:tcPr>
            <w:tcW w:w="1405" w:type="dxa"/>
            <w:vAlign w:val="center"/>
          </w:tcPr>
          <w:p w14:paraId="21B12916">
            <w:pPr>
              <w:widowControl w:val="0"/>
              <w:jc w:val="center"/>
              <w:rPr>
                <w:highlight w:val="none"/>
              </w:rPr>
            </w:pPr>
            <w:r>
              <w:rPr>
                <w:rFonts w:hint="eastAsia" w:ascii="宋体" w:hAnsi="宋体" w:eastAsia="宋体"/>
                <w:b/>
                <w:sz w:val="21"/>
                <w:szCs w:val="21"/>
                <w:highlight w:val="none"/>
              </w:rPr>
              <w:t>博士</w:t>
            </w:r>
          </w:p>
        </w:tc>
        <w:tc>
          <w:tcPr>
            <w:tcW w:w="1580" w:type="dxa"/>
            <w:vAlign w:val="center"/>
          </w:tcPr>
          <w:p w14:paraId="26B04ED2">
            <w:pPr>
              <w:widowControl w:val="0"/>
              <w:jc w:val="center"/>
              <w:rPr>
                <w:rFonts w:hint="default" w:eastAsiaTheme="minorEastAsia"/>
                <w:highlight w:val="none"/>
                <w:lang w:val="en-US" w:eastAsia="zh-CN"/>
              </w:rPr>
            </w:pPr>
            <w:r>
              <w:rPr>
                <w:rFonts w:hint="eastAsia"/>
                <w:highlight w:val="none"/>
                <w:lang w:val="en-US" w:eastAsia="zh-CN"/>
              </w:rPr>
              <w:t>10</w:t>
            </w:r>
          </w:p>
        </w:tc>
        <w:tc>
          <w:tcPr>
            <w:tcW w:w="1588" w:type="dxa"/>
            <w:vAlign w:val="center"/>
          </w:tcPr>
          <w:p w14:paraId="70D41687">
            <w:pPr>
              <w:keepNext w:val="0"/>
              <w:keepLines w:val="0"/>
              <w:widowControl/>
              <w:suppressLineNumbers w:val="0"/>
              <w:jc w:val="center"/>
              <w:textAlignment w:val="center"/>
              <w:rPr>
                <w:rFonts w:hint="default"/>
                <w:highlight w:val="none"/>
                <w:lang w:val="en-US"/>
              </w:rPr>
            </w:pPr>
            <w:r>
              <w:rPr>
                <w:rFonts w:hint="default" w:ascii="Arial" w:hAnsi="Arial" w:eastAsia="宋体" w:cs="Arial"/>
                <w:i w:val="0"/>
                <w:iCs w:val="0"/>
                <w:snapToGrid w:val="0"/>
                <w:color w:val="000000"/>
                <w:kern w:val="0"/>
                <w:sz w:val="21"/>
                <w:szCs w:val="21"/>
                <w:highlight w:val="none"/>
                <w:u w:val="none"/>
                <w:lang w:val="en-US" w:eastAsia="zh-CN" w:bidi="ar"/>
              </w:rPr>
              <w:t xml:space="preserve">1.28 </w:t>
            </w:r>
          </w:p>
        </w:tc>
        <w:tc>
          <w:tcPr>
            <w:tcW w:w="1637" w:type="dxa"/>
            <w:vAlign w:val="center"/>
          </w:tcPr>
          <w:p w14:paraId="715AA111">
            <w:pPr>
              <w:widowControl w:val="0"/>
              <w:jc w:val="center"/>
              <w:rPr>
                <w:highlight w:val="none"/>
              </w:rPr>
            </w:pPr>
            <w:r>
              <w:rPr>
                <w:rFonts w:hint="eastAsia"/>
                <w:highlight w:val="none"/>
                <w:lang w:val="en-US" w:eastAsia="zh-CN"/>
              </w:rPr>
              <w:t>22</w:t>
            </w:r>
          </w:p>
        </w:tc>
        <w:tc>
          <w:tcPr>
            <w:tcW w:w="1531" w:type="dxa"/>
            <w:vAlign w:val="center"/>
          </w:tcPr>
          <w:p w14:paraId="7154DBE9">
            <w:pPr>
              <w:widowControl w:val="0"/>
              <w:jc w:val="center"/>
              <w:rPr>
                <w:highlight w:val="none"/>
              </w:rPr>
            </w:pPr>
            <w:r>
              <w:rPr>
                <w:rFonts w:hint="eastAsia"/>
                <w:highlight w:val="none"/>
                <w:lang w:val="en-US" w:eastAsia="zh-CN"/>
              </w:rPr>
              <w:t>12.85</w:t>
            </w:r>
          </w:p>
        </w:tc>
      </w:tr>
      <w:tr w14:paraId="187954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69CBC988">
            <w:pPr>
              <w:widowControl w:val="0"/>
              <w:jc w:val="center"/>
              <w:rPr>
                <w:highlight w:val="none"/>
              </w:rPr>
            </w:pPr>
          </w:p>
        </w:tc>
        <w:tc>
          <w:tcPr>
            <w:tcW w:w="1405" w:type="dxa"/>
            <w:vAlign w:val="center"/>
          </w:tcPr>
          <w:p w14:paraId="6463E415">
            <w:pPr>
              <w:widowControl w:val="0"/>
              <w:jc w:val="center"/>
              <w:rPr>
                <w:highlight w:val="none"/>
              </w:rPr>
            </w:pPr>
            <w:r>
              <w:rPr>
                <w:rFonts w:hint="eastAsia" w:ascii="宋体" w:hAnsi="宋体" w:eastAsia="宋体"/>
                <w:b/>
                <w:sz w:val="21"/>
                <w:szCs w:val="21"/>
                <w:highlight w:val="none"/>
              </w:rPr>
              <w:t>硕士</w:t>
            </w:r>
          </w:p>
        </w:tc>
        <w:tc>
          <w:tcPr>
            <w:tcW w:w="1580" w:type="dxa"/>
            <w:vAlign w:val="center"/>
          </w:tcPr>
          <w:p w14:paraId="05BC6A5B">
            <w:pPr>
              <w:widowControl w:val="0"/>
              <w:jc w:val="center"/>
              <w:rPr>
                <w:rFonts w:hint="default" w:eastAsiaTheme="minorEastAsia"/>
                <w:highlight w:val="none"/>
                <w:lang w:val="en-US" w:eastAsia="zh-CN"/>
              </w:rPr>
            </w:pPr>
            <w:r>
              <w:rPr>
                <w:rFonts w:hint="eastAsia"/>
                <w:highlight w:val="none"/>
                <w:lang w:val="en-US" w:eastAsia="zh-CN"/>
              </w:rPr>
              <w:t>684</w:t>
            </w:r>
          </w:p>
        </w:tc>
        <w:tc>
          <w:tcPr>
            <w:tcW w:w="1588" w:type="dxa"/>
            <w:vAlign w:val="center"/>
          </w:tcPr>
          <w:p w14:paraId="30C4A0C2">
            <w:pPr>
              <w:keepNext w:val="0"/>
              <w:keepLines w:val="0"/>
              <w:widowControl/>
              <w:suppressLineNumbers w:val="0"/>
              <w:jc w:val="center"/>
              <w:textAlignment w:val="center"/>
              <w:rPr>
                <w:rFonts w:hint="default"/>
                <w:highlight w:val="none"/>
                <w:lang w:val="en-US"/>
              </w:rPr>
            </w:pPr>
            <w:r>
              <w:rPr>
                <w:rFonts w:hint="default" w:ascii="Arial" w:hAnsi="Arial" w:eastAsia="宋体" w:cs="Arial"/>
                <w:i w:val="0"/>
                <w:iCs w:val="0"/>
                <w:snapToGrid w:val="0"/>
                <w:color w:val="000000"/>
                <w:kern w:val="0"/>
                <w:sz w:val="21"/>
                <w:szCs w:val="21"/>
                <w:highlight w:val="none"/>
                <w:u w:val="none"/>
                <w:lang w:val="en-US" w:eastAsia="zh-CN" w:bidi="ar"/>
              </w:rPr>
              <w:t xml:space="preserve">87.80 </w:t>
            </w:r>
          </w:p>
        </w:tc>
        <w:tc>
          <w:tcPr>
            <w:tcW w:w="1637" w:type="dxa"/>
            <w:vAlign w:val="center"/>
          </w:tcPr>
          <w:p w14:paraId="1EDAB02F">
            <w:pPr>
              <w:widowControl w:val="0"/>
              <w:jc w:val="center"/>
              <w:rPr>
                <w:highlight w:val="none"/>
              </w:rPr>
            </w:pPr>
            <w:r>
              <w:rPr>
                <w:rFonts w:hint="eastAsia"/>
                <w:highlight w:val="none"/>
                <w:lang w:val="en-US" w:eastAsia="zh-CN"/>
              </w:rPr>
              <w:t>52</w:t>
            </w:r>
          </w:p>
        </w:tc>
        <w:tc>
          <w:tcPr>
            <w:tcW w:w="1531" w:type="dxa"/>
            <w:vAlign w:val="center"/>
          </w:tcPr>
          <w:p w14:paraId="1C1B38B8">
            <w:pPr>
              <w:widowControl w:val="0"/>
              <w:jc w:val="center"/>
              <w:rPr>
                <w:highlight w:val="none"/>
              </w:rPr>
            </w:pPr>
            <w:r>
              <w:rPr>
                <w:rFonts w:hint="eastAsia"/>
                <w:highlight w:val="none"/>
                <w:lang w:val="en-US" w:eastAsia="zh-CN"/>
              </w:rPr>
              <w:t>29.05</w:t>
            </w:r>
          </w:p>
        </w:tc>
      </w:tr>
      <w:tr w14:paraId="692B8A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08B1A7C7">
            <w:pPr>
              <w:widowControl w:val="0"/>
              <w:jc w:val="center"/>
              <w:rPr>
                <w:highlight w:val="none"/>
              </w:rPr>
            </w:pPr>
          </w:p>
        </w:tc>
        <w:tc>
          <w:tcPr>
            <w:tcW w:w="1405" w:type="dxa"/>
            <w:vAlign w:val="center"/>
          </w:tcPr>
          <w:p w14:paraId="3B7CD499">
            <w:pPr>
              <w:widowControl w:val="0"/>
              <w:jc w:val="center"/>
              <w:rPr>
                <w:highlight w:val="none"/>
              </w:rPr>
            </w:pPr>
            <w:r>
              <w:rPr>
                <w:rFonts w:hint="eastAsia" w:ascii="宋体" w:hAnsi="宋体" w:eastAsia="宋体"/>
                <w:b/>
                <w:sz w:val="21"/>
                <w:szCs w:val="21"/>
                <w:highlight w:val="none"/>
              </w:rPr>
              <w:t>学士</w:t>
            </w:r>
          </w:p>
        </w:tc>
        <w:tc>
          <w:tcPr>
            <w:tcW w:w="1580" w:type="dxa"/>
            <w:vAlign w:val="center"/>
          </w:tcPr>
          <w:p w14:paraId="20799C9F">
            <w:pPr>
              <w:widowControl w:val="0"/>
              <w:jc w:val="center"/>
              <w:rPr>
                <w:rFonts w:hint="default" w:eastAsiaTheme="minorEastAsia"/>
                <w:highlight w:val="none"/>
                <w:lang w:val="en-US" w:eastAsia="zh-CN"/>
              </w:rPr>
            </w:pPr>
            <w:r>
              <w:rPr>
                <w:rFonts w:hint="eastAsia"/>
                <w:highlight w:val="none"/>
                <w:lang w:val="en-US" w:eastAsia="zh-CN"/>
              </w:rPr>
              <w:t>82</w:t>
            </w:r>
          </w:p>
        </w:tc>
        <w:tc>
          <w:tcPr>
            <w:tcW w:w="1588" w:type="dxa"/>
            <w:vAlign w:val="center"/>
          </w:tcPr>
          <w:p w14:paraId="0936184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10.53 </w:t>
            </w:r>
          </w:p>
        </w:tc>
        <w:tc>
          <w:tcPr>
            <w:tcW w:w="1637" w:type="dxa"/>
            <w:vAlign w:val="center"/>
          </w:tcPr>
          <w:p w14:paraId="41474715">
            <w:pPr>
              <w:widowControl w:val="0"/>
              <w:jc w:val="center"/>
              <w:rPr>
                <w:highlight w:val="none"/>
              </w:rPr>
            </w:pPr>
            <w:r>
              <w:rPr>
                <w:rFonts w:hint="eastAsia"/>
                <w:highlight w:val="none"/>
                <w:lang w:val="en-US" w:eastAsia="zh-CN"/>
              </w:rPr>
              <w:t>42</w:t>
            </w:r>
          </w:p>
        </w:tc>
        <w:tc>
          <w:tcPr>
            <w:tcW w:w="1531" w:type="dxa"/>
            <w:vAlign w:val="center"/>
          </w:tcPr>
          <w:p w14:paraId="40B0304E">
            <w:pPr>
              <w:widowControl w:val="0"/>
              <w:jc w:val="center"/>
              <w:rPr>
                <w:rFonts w:asciiTheme="minorHAnsi" w:hAnsiTheme="minorHAnsi" w:eastAsiaTheme="minorEastAsia" w:cstheme="minorBidi"/>
                <w:kern w:val="2"/>
                <w:sz w:val="21"/>
                <w:szCs w:val="22"/>
                <w:highlight w:val="none"/>
                <w:lang w:val="en-US" w:eastAsia="zh-CN" w:bidi="ar-SA"/>
              </w:rPr>
            </w:pPr>
            <w:r>
              <w:rPr>
                <w:rFonts w:hint="eastAsia"/>
                <w:highlight w:val="none"/>
                <w:lang w:val="en-US" w:eastAsia="zh-CN"/>
              </w:rPr>
              <w:t>23.46</w:t>
            </w:r>
          </w:p>
        </w:tc>
      </w:tr>
      <w:tr w14:paraId="47F5B0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721D0B97">
            <w:pPr>
              <w:widowControl w:val="0"/>
              <w:jc w:val="center"/>
              <w:rPr>
                <w:highlight w:val="none"/>
              </w:rPr>
            </w:pPr>
          </w:p>
        </w:tc>
        <w:tc>
          <w:tcPr>
            <w:tcW w:w="1405" w:type="dxa"/>
            <w:vAlign w:val="center"/>
          </w:tcPr>
          <w:p w14:paraId="06B781CF">
            <w:pPr>
              <w:widowControl w:val="0"/>
              <w:jc w:val="center"/>
              <w:rPr>
                <w:highlight w:val="none"/>
              </w:rPr>
            </w:pPr>
            <w:r>
              <w:rPr>
                <w:rFonts w:hint="eastAsia" w:ascii="宋体" w:hAnsi="宋体" w:eastAsia="宋体"/>
                <w:b/>
                <w:sz w:val="21"/>
                <w:szCs w:val="21"/>
                <w:highlight w:val="none"/>
              </w:rPr>
              <w:t>无学位</w:t>
            </w:r>
          </w:p>
        </w:tc>
        <w:tc>
          <w:tcPr>
            <w:tcW w:w="1580" w:type="dxa"/>
            <w:vAlign w:val="center"/>
          </w:tcPr>
          <w:p w14:paraId="26C2A194">
            <w:pPr>
              <w:widowControl w:val="0"/>
              <w:jc w:val="center"/>
              <w:rPr>
                <w:rFonts w:hint="default" w:eastAsiaTheme="minorEastAsia"/>
                <w:highlight w:val="none"/>
                <w:lang w:val="en-US" w:eastAsia="zh-CN"/>
              </w:rPr>
            </w:pPr>
            <w:r>
              <w:rPr>
                <w:rFonts w:hint="eastAsia"/>
                <w:highlight w:val="none"/>
                <w:lang w:val="en-US" w:eastAsia="zh-CN"/>
              </w:rPr>
              <w:t>3</w:t>
            </w:r>
          </w:p>
        </w:tc>
        <w:tc>
          <w:tcPr>
            <w:tcW w:w="1588" w:type="dxa"/>
            <w:vAlign w:val="center"/>
          </w:tcPr>
          <w:p w14:paraId="0638921C">
            <w:pPr>
              <w:keepNext w:val="0"/>
              <w:keepLines w:val="0"/>
              <w:widowControl/>
              <w:suppressLineNumbers w:val="0"/>
              <w:jc w:val="center"/>
              <w:textAlignment w:val="center"/>
              <w:rPr>
                <w:rFonts w:hint="default" w:asciiTheme="minorHAnsi" w:hAnsiTheme="minorHAnsi" w:eastAsiaTheme="minorEastAsia" w:cstheme="minorBidi"/>
                <w:kern w:val="2"/>
                <w:sz w:val="21"/>
                <w:szCs w:val="22"/>
                <w:highlight w:val="none"/>
                <w:lang w:val="en-US" w:eastAsia="zh-CN" w:bidi="ar-SA"/>
              </w:rPr>
            </w:pPr>
            <w:r>
              <w:rPr>
                <w:rFonts w:hint="default" w:ascii="Arial" w:hAnsi="Arial" w:eastAsia="宋体" w:cs="Arial"/>
                <w:i w:val="0"/>
                <w:iCs w:val="0"/>
                <w:snapToGrid w:val="0"/>
                <w:color w:val="000000"/>
                <w:kern w:val="0"/>
                <w:sz w:val="21"/>
                <w:szCs w:val="21"/>
                <w:highlight w:val="none"/>
                <w:u w:val="none"/>
                <w:lang w:val="en-US" w:eastAsia="zh-CN" w:bidi="ar"/>
              </w:rPr>
              <w:t xml:space="preserve">0.39 </w:t>
            </w:r>
          </w:p>
        </w:tc>
        <w:tc>
          <w:tcPr>
            <w:tcW w:w="1637" w:type="dxa"/>
            <w:vAlign w:val="center"/>
          </w:tcPr>
          <w:p w14:paraId="3EDAB587">
            <w:pPr>
              <w:widowControl w:val="0"/>
              <w:jc w:val="center"/>
              <w:rPr>
                <w:highlight w:val="none"/>
              </w:rPr>
            </w:pPr>
            <w:r>
              <w:rPr>
                <w:rFonts w:hint="eastAsia"/>
                <w:highlight w:val="none"/>
                <w:lang w:val="en-US" w:eastAsia="zh-CN"/>
              </w:rPr>
              <w:t>62</w:t>
            </w:r>
          </w:p>
        </w:tc>
        <w:tc>
          <w:tcPr>
            <w:tcW w:w="1531" w:type="dxa"/>
            <w:vAlign w:val="center"/>
          </w:tcPr>
          <w:p w14:paraId="5FDBD937">
            <w:pPr>
              <w:widowControl w:val="0"/>
              <w:jc w:val="center"/>
              <w:rPr>
                <w:highlight w:val="none"/>
              </w:rPr>
            </w:pPr>
            <w:r>
              <w:rPr>
                <w:rFonts w:hint="eastAsia"/>
                <w:highlight w:val="none"/>
                <w:lang w:val="en-US" w:eastAsia="zh-CN"/>
              </w:rPr>
              <w:t>34.64</w:t>
            </w:r>
          </w:p>
        </w:tc>
      </w:tr>
      <w:tr w14:paraId="7398C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restart"/>
            <w:vAlign w:val="center"/>
          </w:tcPr>
          <w:p w14:paraId="549E0B4C">
            <w:pPr>
              <w:widowControl w:val="0"/>
              <w:jc w:val="center"/>
              <w:rPr>
                <w:highlight w:val="none"/>
              </w:rPr>
            </w:pPr>
            <w:r>
              <w:rPr>
                <w:rFonts w:hint="eastAsia" w:ascii="宋体" w:hAnsi="宋体" w:eastAsia="宋体"/>
                <w:b/>
                <w:sz w:val="21"/>
                <w:szCs w:val="21"/>
                <w:highlight w:val="none"/>
              </w:rPr>
              <w:t>年龄</w:t>
            </w:r>
          </w:p>
        </w:tc>
        <w:tc>
          <w:tcPr>
            <w:tcW w:w="1405" w:type="dxa"/>
            <w:vAlign w:val="center"/>
          </w:tcPr>
          <w:p w14:paraId="444CDBB9">
            <w:pPr>
              <w:widowControl w:val="0"/>
              <w:jc w:val="center"/>
              <w:rPr>
                <w:highlight w:val="none"/>
              </w:rPr>
            </w:pPr>
            <w:r>
              <w:rPr>
                <w:rFonts w:hint="eastAsia" w:ascii="宋体" w:hAnsi="宋体" w:eastAsia="宋体"/>
                <w:b/>
                <w:sz w:val="21"/>
                <w:szCs w:val="21"/>
                <w:highlight w:val="none"/>
              </w:rPr>
              <w:t>35岁及以下</w:t>
            </w:r>
          </w:p>
        </w:tc>
        <w:tc>
          <w:tcPr>
            <w:tcW w:w="1580" w:type="dxa"/>
            <w:vAlign w:val="center"/>
          </w:tcPr>
          <w:p w14:paraId="6835B0C1">
            <w:pPr>
              <w:widowControl w:val="0"/>
              <w:jc w:val="center"/>
              <w:rPr>
                <w:rFonts w:hint="default" w:eastAsiaTheme="minorEastAsia"/>
                <w:highlight w:val="none"/>
                <w:lang w:val="en-US" w:eastAsia="zh-CN"/>
              </w:rPr>
            </w:pPr>
            <w:r>
              <w:rPr>
                <w:rFonts w:hint="eastAsia"/>
                <w:highlight w:val="none"/>
                <w:lang w:val="en-US" w:eastAsia="zh-CN"/>
              </w:rPr>
              <w:t>658</w:t>
            </w:r>
          </w:p>
        </w:tc>
        <w:tc>
          <w:tcPr>
            <w:tcW w:w="1588" w:type="dxa"/>
            <w:vAlign w:val="center"/>
          </w:tcPr>
          <w:p w14:paraId="7025E89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84.47 </w:t>
            </w:r>
          </w:p>
        </w:tc>
        <w:tc>
          <w:tcPr>
            <w:tcW w:w="1637" w:type="dxa"/>
            <w:vAlign w:val="center"/>
          </w:tcPr>
          <w:p w14:paraId="53521D20">
            <w:pPr>
              <w:widowControl w:val="0"/>
              <w:jc w:val="center"/>
              <w:rPr>
                <w:highlight w:val="none"/>
              </w:rPr>
            </w:pPr>
            <w:r>
              <w:rPr>
                <w:rFonts w:hint="eastAsia"/>
                <w:highlight w:val="none"/>
                <w:lang w:val="en-US" w:eastAsia="zh-CN"/>
              </w:rPr>
              <w:t>1</w:t>
            </w:r>
          </w:p>
        </w:tc>
        <w:tc>
          <w:tcPr>
            <w:tcW w:w="1531" w:type="dxa"/>
            <w:vAlign w:val="center"/>
          </w:tcPr>
          <w:p w14:paraId="63B9558A">
            <w:pPr>
              <w:widowControl w:val="0"/>
              <w:jc w:val="center"/>
              <w:rPr>
                <w:highlight w:val="none"/>
              </w:rPr>
            </w:pPr>
            <w:r>
              <w:rPr>
                <w:rFonts w:hint="eastAsia"/>
                <w:highlight w:val="none"/>
                <w:lang w:val="en-US" w:eastAsia="zh-CN"/>
              </w:rPr>
              <w:t>0.56</w:t>
            </w:r>
          </w:p>
        </w:tc>
      </w:tr>
      <w:tr w14:paraId="5120D9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1083499C">
            <w:pPr>
              <w:widowControl w:val="0"/>
              <w:jc w:val="center"/>
              <w:rPr>
                <w:highlight w:val="none"/>
              </w:rPr>
            </w:pPr>
          </w:p>
        </w:tc>
        <w:tc>
          <w:tcPr>
            <w:tcW w:w="1405" w:type="dxa"/>
            <w:vAlign w:val="center"/>
          </w:tcPr>
          <w:p w14:paraId="1D15562F">
            <w:pPr>
              <w:widowControl w:val="0"/>
              <w:jc w:val="center"/>
              <w:rPr>
                <w:highlight w:val="none"/>
              </w:rPr>
            </w:pPr>
            <w:r>
              <w:rPr>
                <w:rFonts w:hint="eastAsia" w:ascii="宋体" w:hAnsi="宋体" w:eastAsia="宋体"/>
                <w:b/>
                <w:sz w:val="21"/>
                <w:szCs w:val="21"/>
                <w:highlight w:val="none"/>
              </w:rPr>
              <w:t>36-45岁</w:t>
            </w:r>
          </w:p>
        </w:tc>
        <w:tc>
          <w:tcPr>
            <w:tcW w:w="1580" w:type="dxa"/>
            <w:vAlign w:val="center"/>
          </w:tcPr>
          <w:p w14:paraId="172055D8">
            <w:pPr>
              <w:widowControl w:val="0"/>
              <w:jc w:val="center"/>
              <w:rPr>
                <w:rFonts w:hint="default" w:eastAsiaTheme="minorEastAsia"/>
                <w:highlight w:val="none"/>
                <w:lang w:val="en-US" w:eastAsia="zh-CN"/>
              </w:rPr>
            </w:pPr>
            <w:r>
              <w:rPr>
                <w:rFonts w:hint="eastAsia"/>
                <w:highlight w:val="none"/>
                <w:lang w:val="en-US" w:eastAsia="zh-CN"/>
              </w:rPr>
              <w:t>107</w:t>
            </w:r>
          </w:p>
        </w:tc>
        <w:tc>
          <w:tcPr>
            <w:tcW w:w="1588" w:type="dxa"/>
            <w:vAlign w:val="center"/>
          </w:tcPr>
          <w:p w14:paraId="1371943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13.74 </w:t>
            </w:r>
          </w:p>
        </w:tc>
        <w:tc>
          <w:tcPr>
            <w:tcW w:w="1637" w:type="dxa"/>
            <w:vAlign w:val="center"/>
          </w:tcPr>
          <w:p w14:paraId="33698E84">
            <w:pPr>
              <w:widowControl w:val="0"/>
              <w:jc w:val="center"/>
              <w:rPr>
                <w:highlight w:val="none"/>
              </w:rPr>
            </w:pPr>
            <w:r>
              <w:rPr>
                <w:rFonts w:hint="eastAsia"/>
                <w:highlight w:val="none"/>
                <w:lang w:val="en-US" w:eastAsia="zh-CN"/>
              </w:rPr>
              <w:t>32</w:t>
            </w:r>
          </w:p>
        </w:tc>
        <w:tc>
          <w:tcPr>
            <w:tcW w:w="1531" w:type="dxa"/>
            <w:vAlign w:val="center"/>
          </w:tcPr>
          <w:p w14:paraId="28BEC696">
            <w:pPr>
              <w:widowControl w:val="0"/>
              <w:jc w:val="center"/>
              <w:rPr>
                <w:highlight w:val="none"/>
              </w:rPr>
            </w:pPr>
            <w:r>
              <w:rPr>
                <w:rFonts w:hint="eastAsia"/>
                <w:highlight w:val="none"/>
                <w:lang w:val="en-US" w:eastAsia="zh-CN"/>
              </w:rPr>
              <w:t>17.88</w:t>
            </w:r>
          </w:p>
        </w:tc>
      </w:tr>
      <w:tr w14:paraId="251ABE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6FBF6AD4">
            <w:pPr>
              <w:widowControl w:val="0"/>
              <w:jc w:val="center"/>
              <w:rPr>
                <w:highlight w:val="none"/>
              </w:rPr>
            </w:pPr>
          </w:p>
        </w:tc>
        <w:tc>
          <w:tcPr>
            <w:tcW w:w="1405" w:type="dxa"/>
            <w:vAlign w:val="center"/>
          </w:tcPr>
          <w:p w14:paraId="734E0A7D">
            <w:pPr>
              <w:widowControl w:val="0"/>
              <w:jc w:val="center"/>
              <w:rPr>
                <w:highlight w:val="none"/>
              </w:rPr>
            </w:pPr>
            <w:r>
              <w:rPr>
                <w:rFonts w:hint="eastAsia" w:ascii="宋体" w:hAnsi="宋体" w:eastAsia="宋体"/>
                <w:b/>
                <w:sz w:val="21"/>
                <w:szCs w:val="21"/>
                <w:highlight w:val="none"/>
              </w:rPr>
              <w:t>46-55岁</w:t>
            </w:r>
          </w:p>
        </w:tc>
        <w:tc>
          <w:tcPr>
            <w:tcW w:w="1580" w:type="dxa"/>
            <w:vAlign w:val="center"/>
          </w:tcPr>
          <w:p w14:paraId="360927DB">
            <w:pPr>
              <w:widowControl w:val="0"/>
              <w:jc w:val="center"/>
              <w:rPr>
                <w:rFonts w:hint="default" w:eastAsiaTheme="minorEastAsia"/>
                <w:highlight w:val="none"/>
                <w:lang w:val="en-US" w:eastAsia="zh-CN"/>
              </w:rPr>
            </w:pPr>
            <w:r>
              <w:rPr>
                <w:rFonts w:hint="eastAsia"/>
                <w:highlight w:val="none"/>
                <w:lang w:val="en-US" w:eastAsia="zh-CN"/>
              </w:rPr>
              <w:t>13</w:t>
            </w:r>
          </w:p>
        </w:tc>
        <w:tc>
          <w:tcPr>
            <w:tcW w:w="1588" w:type="dxa"/>
            <w:vAlign w:val="center"/>
          </w:tcPr>
          <w:p w14:paraId="0C46F11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1.67 </w:t>
            </w:r>
          </w:p>
        </w:tc>
        <w:tc>
          <w:tcPr>
            <w:tcW w:w="1637" w:type="dxa"/>
            <w:vAlign w:val="center"/>
          </w:tcPr>
          <w:p w14:paraId="4EA79D67">
            <w:pPr>
              <w:widowControl w:val="0"/>
              <w:jc w:val="center"/>
              <w:rPr>
                <w:highlight w:val="none"/>
              </w:rPr>
            </w:pPr>
            <w:r>
              <w:rPr>
                <w:rFonts w:hint="eastAsia"/>
                <w:highlight w:val="none"/>
                <w:lang w:val="en-US" w:eastAsia="zh-CN"/>
              </w:rPr>
              <w:t>48</w:t>
            </w:r>
          </w:p>
        </w:tc>
        <w:tc>
          <w:tcPr>
            <w:tcW w:w="1531" w:type="dxa"/>
            <w:vAlign w:val="center"/>
          </w:tcPr>
          <w:p w14:paraId="382CE6F5">
            <w:pPr>
              <w:widowControl w:val="0"/>
              <w:jc w:val="center"/>
              <w:rPr>
                <w:highlight w:val="none"/>
              </w:rPr>
            </w:pPr>
            <w:r>
              <w:rPr>
                <w:rFonts w:hint="eastAsia"/>
                <w:highlight w:val="none"/>
                <w:lang w:val="en-US" w:eastAsia="zh-CN"/>
              </w:rPr>
              <w:t>26.82</w:t>
            </w:r>
          </w:p>
        </w:tc>
      </w:tr>
      <w:tr w14:paraId="4AB0DC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781" w:type="dxa"/>
            <w:vMerge w:val="continue"/>
            <w:vAlign w:val="center"/>
          </w:tcPr>
          <w:p w14:paraId="545C083A">
            <w:pPr>
              <w:widowControl w:val="0"/>
              <w:jc w:val="center"/>
              <w:rPr>
                <w:highlight w:val="none"/>
              </w:rPr>
            </w:pPr>
          </w:p>
        </w:tc>
        <w:tc>
          <w:tcPr>
            <w:tcW w:w="1405" w:type="dxa"/>
            <w:vAlign w:val="center"/>
          </w:tcPr>
          <w:p w14:paraId="2BF14EBC">
            <w:pPr>
              <w:widowControl w:val="0"/>
              <w:jc w:val="center"/>
              <w:rPr>
                <w:highlight w:val="none"/>
              </w:rPr>
            </w:pPr>
            <w:r>
              <w:rPr>
                <w:rFonts w:hint="eastAsia" w:ascii="宋体" w:hAnsi="宋体" w:eastAsia="宋体"/>
                <w:b/>
                <w:sz w:val="21"/>
                <w:szCs w:val="21"/>
                <w:highlight w:val="none"/>
              </w:rPr>
              <w:t>56岁及以上</w:t>
            </w:r>
          </w:p>
        </w:tc>
        <w:tc>
          <w:tcPr>
            <w:tcW w:w="1580" w:type="dxa"/>
            <w:vAlign w:val="center"/>
          </w:tcPr>
          <w:p w14:paraId="0F2613D2">
            <w:pPr>
              <w:widowControl w:val="0"/>
              <w:jc w:val="center"/>
              <w:rPr>
                <w:rFonts w:hint="default" w:eastAsiaTheme="minorEastAsia"/>
                <w:highlight w:val="none"/>
                <w:lang w:val="en-US" w:eastAsia="zh-CN"/>
              </w:rPr>
            </w:pPr>
            <w:r>
              <w:rPr>
                <w:rFonts w:hint="eastAsia"/>
                <w:highlight w:val="none"/>
                <w:lang w:val="en-US" w:eastAsia="zh-CN"/>
              </w:rPr>
              <w:t>0</w:t>
            </w:r>
          </w:p>
        </w:tc>
        <w:tc>
          <w:tcPr>
            <w:tcW w:w="1588" w:type="dxa"/>
            <w:vAlign w:val="center"/>
          </w:tcPr>
          <w:p w14:paraId="305225A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1"/>
                <w:szCs w:val="21"/>
                <w:highlight w:val="none"/>
                <w:u w:val="none"/>
                <w:lang w:val="en-US" w:eastAsia="zh-CN" w:bidi="ar"/>
              </w:rPr>
              <w:t xml:space="preserve">0.00 </w:t>
            </w:r>
          </w:p>
        </w:tc>
        <w:tc>
          <w:tcPr>
            <w:tcW w:w="1637" w:type="dxa"/>
            <w:vAlign w:val="center"/>
          </w:tcPr>
          <w:p w14:paraId="6764CD05">
            <w:pPr>
              <w:widowControl w:val="0"/>
              <w:jc w:val="center"/>
              <w:rPr>
                <w:highlight w:val="none"/>
              </w:rPr>
            </w:pPr>
            <w:r>
              <w:rPr>
                <w:rFonts w:hint="eastAsia"/>
                <w:highlight w:val="none"/>
                <w:lang w:val="en-US" w:eastAsia="zh-CN"/>
              </w:rPr>
              <w:t>97</w:t>
            </w:r>
          </w:p>
        </w:tc>
        <w:tc>
          <w:tcPr>
            <w:tcW w:w="1531" w:type="dxa"/>
            <w:vAlign w:val="center"/>
          </w:tcPr>
          <w:p w14:paraId="2CB617D3">
            <w:pPr>
              <w:widowControl w:val="0"/>
              <w:jc w:val="center"/>
              <w:rPr>
                <w:highlight w:val="none"/>
              </w:rPr>
            </w:pPr>
            <w:r>
              <w:rPr>
                <w:rFonts w:hint="eastAsia"/>
                <w:highlight w:val="none"/>
                <w:lang w:val="en-US" w:eastAsia="zh-CN"/>
              </w:rPr>
              <w:t>54.75</w:t>
            </w:r>
          </w:p>
        </w:tc>
      </w:tr>
    </w:tbl>
    <w:p w14:paraId="0E64D140">
      <w:pPr>
        <w:spacing w:before="120" w:beforeLines="50"/>
        <w:jc w:val="center"/>
        <w:rPr>
          <w:rFonts w:ascii="宋体" w:hAnsi="宋体" w:eastAsia="宋体" w:cs="宋体"/>
          <w:spacing w:val="8"/>
          <w:highlight w:val="none"/>
          <w:lang w:eastAsia="zh-CN"/>
        </w:rPr>
      </w:pPr>
    </w:p>
    <w:p w14:paraId="58B8CBC5">
      <w:pPr>
        <w:spacing w:line="17" w:lineRule="exact"/>
        <w:rPr>
          <w:rFonts w:ascii="宋体" w:hAnsi="宋体" w:eastAsia="宋体" w:cs="宋体"/>
          <w:highlight w:val="none"/>
        </w:rPr>
      </w:pPr>
    </w:p>
    <w:p w14:paraId="6F937171">
      <w:pPr>
        <w:jc w:val="cente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drawing>
          <wp:inline distT="0" distB="0" distL="114300" distR="114300">
            <wp:extent cx="5116830" cy="3057525"/>
            <wp:effectExtent l="4445" t="4445" r="22225" b="5080"/>
            <wp:docPr id="10" name="图表 10" descr="{{近两学年专任教师职称情况}}"/>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8DD1D29">
      <w:pPr>
        <w:spacing w:before="120" w:beforeLines="50"/>
        <w:jc w:val="center"/>
        <w:rPr>
          <w:rFonts w:hint="eastAsia" w:ascii="宋体" w:hAnsi="宋体" w:eastAsia="宋体" w:cs="宋体"/>
          <w:spacing w:val="8"/>
          <w:highlight w:val="none"/>
          <w:lang w:eastAsia="zh-CN"/>
        </w:rPr>
      </w:pPr>
      <w:r>
        <w:rPr>
          <w:rFonts w:hint="eastAsia" w:ascii="宋体" w:hAnsi="宋体" w:eastAsia="宋体" w:cs="宋体"/>
          <w:spacing w:val="8"/>
          <w:highlight w:val="none"/>
          <w:lang w:val="en-US" w:eastAsia="zh-CN"/>
        </w:rPr>
        <w:t xml:space="preserve">图2-1 </w:t>
      </w:r>
      <w:r>
        <w:rPr>
          <w:rFonts w:hint="eastAsia" w:ascii="宋体" w:hAnsi="宋体" w:eastAsia="宋体" w:cs="宋体"/>
          <w:spacing w:val="8"/>
          <w:highlight w:val="none"/>
          <w:lang w:eastAsia="zh-CN"/>
        </w:rPr>
        <w:t>近两学年专任教师职称情况（%）</w:t>
      </w:r>
    </w:p>
    <w:p w14:paraId="20BD17BD">
      <w:pPr>
        <w:spacing w:before="120" w:beforeLines="50"/>
        <w:jc w:val="center"/>
        <w:rPr>
          <w:rFonts w:hint="eastAsia" w:ascii="宋体" w:hAnsi="宋体" w:eastAsia="宋体" w:cs="宋体"/>
          <w:spacing w:val="8"/>
          <w:highlight w:val="none"/>
          <w:lang w:eastAsia="zh-CN"/>
        </w:rPr>
      </w:pPr>
    </w:p>
    <w:p w14:paraId="3DC729E1">
      <w:pPr>
        <w:jc w:val="cente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drawing>
          <wp:inline distT="0" distB="0" distL="114300" distR="114300">
            <wp:extent cx="5116830" cy="3057525"/>
            <wp:effectExtent l="4445" t="4445" r="22225" b="5080"/>
            <wp:docPr id="3" name="图表 3" descr="{{近两学年专任教师学位情况}}"/>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E382FBD">
      <w:pPr>
        <w:spacing w:before="120" w:beforeLines="50"/>
        <w:jc w:val="center"/>
        <w:rPr>
          <w:rFonts w:hint="eastAsia" w:ascii="宋体" w:hAnsi="宋体" w:eastAsia="宋体" w:cs="宋体"/>
          <w:spacing w:val="8"/>
          <w:highlight w:val="none"/>
          <w:lang w:eastAsia="zh-CN"/>
        </w:rPr>
      </w:pPr>
      <w:r>
        <w:rPr>
          <w:rFonts w:hint="eastAsia" w:ascii="宋体" w:hAnsi="宋体" w:eastAsia="宋体" w:cs="宋体"/>
          <w:spacing w:val="8"/>
          <w:highlight w:val="none"/>
          <w:lang w:val="en-US" w:eastAsia="zh-CN"/>
        </w:rPr>
        <w:t xml:space="preserve">图2-2 </w:t>
      </w:r>
      <w:r>
        <w:rPr>
          <w:rFonts w:hint="eastAsia" w:ascii="宋体" w:hAnsi="宋体" w:eastAsia="宋体" w:cs="宋体"/>
          <w:spacing w:val="8"/>
          <w:highlight w:val="none"/>
          <w:lang w:eastAsia="zh-CN"/>
        </w:rPr>
        <w:t>近两学年专任教师学位情况（%）
</w:t>
      </w:r>
    </w:p>
    <w:p w14:paraId="77A04E23">
      <w:pPr>
        <w:spacing w:before="120" w:beforeLines="50"/>
        <w:jc w:val="center"/>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drawing>
          <wp:inline distT="0" distB="0" distL="114300" distR="114300">
            <wp:extent cx="5116830" cy="3057525"/>
            <wp:effectExtent l="4445" t="4445" r="22225" b="5080"/>
            <wp:docPr id="11" name="图表 11" descr="{{近两学年专任教师年龄结构}}"/>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F1E197E">
      <w:pPr>
        <w:spacing w:before="120" w:beforeLines="50"/>
        <w:jc w:val="center"/>
        <w:rPr>
          <w:rFonts w:hint="eastAsia" w:ascii="宋体" w:hAnsi="宋体" w:eastAsia="宋体" w:cs="宋体"/>
          <w:spacing w:val="8"/>
          <w:highlight w:val="none"/>
          <w:lang w:eastAsia="zh-CN"/>
        </w:rPr>
      </w:pPr>
      <w:r>
        <w:rPr>
          <w:rFonts w:hint="eastAsia" w:ascii="宋体" w:hAnsi="宋体" w:eastAsia="宋体" w:cs="宋体"/>
          <w:spacing w:val="8"/>
          <w:highlight w:val="none"/>
          <w:lang w:val="en-US" w:eastAsia="zh-CN"/>
        </w:rPr>
        <w:t xml:space="preserve">图2-3 </w:t>
      </w:r>
      <w:r>
        <w:rPr>
          <w:rFonts w:hint="eastAsia" w:ascii="宋体" w:hAnsi="宋体" w:eastAsia="宋体" w:cs="宋体"/>
          <w:spacing w:val="8"/>
          <w:highlight w:val="none"/>
          <w:lang w:eastAsia="zh-CN"/>
        </w:rPr>
        <w:t>近两学年专任教师年龄结构（%）</w:t>
      </w:r>
    </w:p>
    <w:p w14:paraId="2B281B9A">
      <w:pPr>
        <w:jc w:val="center"/>
        <w:rPr>
          <w:rFonts w:ascii="宋体" w:hAnsi="宋体" w:eastAsia="宋体"/>
          <w:sz w:val="24"/>
          <w:szCs w:val="24"/>
          <w:highlight w:val="none"/>
        </w:rPr>
      </w:pPr>
    </w:p>
    <w:p w14:paraId="7BF935DF">
      <w:pPr>
        <w:keepNext w:val="0"/>
        <w:keepLines w:val="0"/>
        <w:pageBreakBefore w:val="0"/>
        <w:widowControl/>
        <w:kinsoku w:val="0"/>
        <w:wordWrap/>
        <w:overflowPunct/>
        <w:topLinePunct w:val="0"/>
        <w:autoSpaceDE w:val="0"/>
        <w:autoSpaceDN w:val="0"/>
        <w:bidi w:val="0"/>
        <w:adjustRightInd w:val="0"/>
        <w:snapToGrid w:val="0"/>
        <w:spacing w:line="400" w:lineRule="exact"/>
        <w:ind w:firstLine="464" w:firstLineChars="200"/>
        <w:jc w:val="both"/>
        <w:textAlignment w:val="baseline"/>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落实师德师风第一标准。学校高度重视师德师风建设，组织召开师德师风建设专题会议，学习上级文件要求和先进典型事迹，制定《师德教育计划》《关于加强和改进师德师风建设的实施意见》《师德师风负面清单和失范行为处理办法》，编印《师德师风建设政策文件汇编》，开展师德师风失范案例警示教育，营造重视师德、严管师风的良好氛围，筑牢师德师风建设根基。成立由校领导为组长，党委办公室、校长办公室、人事处、教务处、科研处、学生处等部门负责人组成的师德师风建设工作领导小组，建立学校统一部署、二级学院（部）具体落实、教师自我约束的领导体制和工作机制，形成了师德建设整体合力。把好师德入口关，组织新教师入职宣誓，签订师德承诺书，引导教师自觉践行高校师德规范。强化师德监督考核，设立举报电话和信箱，开展师德专项整治、学术不端专项清查等，将师德评价纳入教师考评体系，在职称（职务）晋升、评优奖励等工作中实行师德问题“一票否决”。注重典范宣传。组织教师学习教育部《新时代高校教师职业行为十项准则》《高等学校教师职业道德规范》等相关文件，开展教学名师、优秀教师、优秀辅导员、最美现代人等评选表彰活动，营造人人争当“四有”好老师的氛围。近年，学校涌现出一批教书育人、为人师表的优秀教育工作者，其中全国优秀教师1人、山东省教学名师3人、全国青年岗位能手和全国巾帼建功示范标兵1人、山东高校三八红旗手1人、济南市表现突出个人6人，校级教学名师17人。2025年，133位教师获得“最美教师”、89位教职员工获得“最美现代人”称号。</w:t>
      </w:r>
    </w:p>
    <w:p w14:paraId="4B5195A1">
      <w:pPr>
        <w:pStyle w:val="18"/>
        <w:keepNext w:val="0"/>
        <w:keepLines w:val="0"/>
        <w:pageBreakBefore w:val="0"/>
        <w:widowControl/>
        <w:kinsoku w:val="0"/>
        <w:wordWrap/>
        <w:overflowPunct/>
        <w:topLinePunct w:val="0"/>
        <w:autoSpaceDE w:val="0"/>
        <w:autoSpaceDN w:val="0"/>
        <w:bidi w:val="0"/>
        <w:adjustRightInd w:val="0"/>
        <w:snapToGrid w:val="0"/>
        <w:spacing w:line="400" w:lineRule="exact"/>
        <w:ind w:firstLine="464" w:firstLineChars="200"/>
        <w:jc w:val="both"/>
        <w:textAlignment w:val="baseline"/>
        <w:rPr>
          <w:highlight w:val="none"/>
          <w:lang w:eastAsia="zh-CN"/>
        </w:rPr>
      </w:pPr>
      <w:r>
        <w:rPr>
          <w:rFonts w:hint="eastAsia" w:ascii="宋体" w:hAnsi="宋体" w:eastAsia="宋体" w:cs="宋体"/>
          <w:snapToGrid w:val="0"/>
          <w:color w:val="000000"/>
          <w:spacing w:val="-4"/>
          <w:sz w:val="24"/>
          <w:szCs w:val="24"/>
          <w:highlight w:val="none"/>
          <w:lang w:val="en-US" w:eastAsia="zh-CN" w:bidi="ar-SA"/>
        </w:rPr>
        <w:t>注重教师培养与提升。实施青年教师学历提升计划，制定《山东现代学院青年教师能力提升计划实施方案》和《山东现代学院教师教学能力提升计划实施方案》，定期组织青年教师进行校内外交流培训，鼓励青年教师提升学历。2025年，组织骨干教师、优秀教师代表赴北京大学、浙江大学等高校培训10余次，累计培训483人次；邀请国内知名高校专家学者165人次来校为教师开展培训，累计参训人数达1283人次。组织全体教师开展磨课活动，举办“说课程”比赛、教学比赛、课程思政示范课评选等。实施青年教师实践能力提升计划，组织209人赴企业挂职锻炼。实施青年教师科研提升计划，近三年累计资助和奖励青年教师科研经费374.40万元。</w:t>
      </w:r>
    </w:p>
    <w:p w14:paraId="4F7AB944">
      <w:pPr>
        <w:adjustRightInd/>
        <w:snapToGrid/>
        <w:spacing w:before="120" w:beforeLines="50" w:after="120" w:afterLines="50"/>
        <w:jc w:val="both"/>
        <w:outlineLvl w:val="1"/>
        <w:rPr>
          <w:rFonts w:hint="eastAsia" w:ascii="黑体" w:hAnsi="黑体" w:eastAsia="黑体" w:cs="黑体"/>
          <w:sz w:val="28"/>
          <w:szCs w:val="28"/>
          <w:highlight w:val="none"/>
          <w:lang w:val="en-US" w:eastAsia="zh-CN"/>
        </w:rPr>
      </w:pPr>
      <w:bookmarkStart w:id="23" w:name="_Toc136"/>
      <w:r>
        <w:rPr>
          <w:rFonts w:hint="eastAsia" w:ascii="黑体" w:hAnsi="黑体" w:eastAsia="黑体" w:cs="黑体"/>
          <w:sz w:val="28"/>
          <w:szCs w:val="28"/>
          <w:highlight w:val="none"/>
          <w:lang w:val="en-US" w:eastAsia="zh-CN"/>
        </w:rPr>
        <w:t>三、本科生主讲教师情况、教授承担本科课程情况</w:t>
      </w:r>
      <w:bookmarkEnd w:id="23"/>
    </w:p>
    <w:p w14:paraId="53B076E6">
      <w:pPr>
        <w:spacing w:line="400" w:lineRule="exact"/>
        <w:ind w:firstLine="464" w:firstLineChars="200"/>
        <w:jc w:val="both"/>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学校坚持“以本为本”，高度重视本科教育，保证本科课程教学质量。2024～2025学年，全校共开设本科课程949门，共开设本科课程325</w:t>
      </w:r>
      <w:r>
        <w:rPr>
          <w:rFonts w:hint="eastAsia" w:ascii="宋体" w:hAnsi="宋体" w:eastAsia="宋体" w:cs="宋体"/>
          <w:color w:val="auto"/>
          <w:spacing w:val="-4"/>
          <w:sz w:val="24"/>
          <w:szCs w:val="24"/>
          <w:highlight w:val="none"/>
          <w:lang w:val="en-US" w:eastAsia="zh-CN"/>
        </w:rPr>
        <w:t>5</w:t>
      </w:r>
      <w:r>
        <w:rPr>
          <w:rFonts w:hint="eastAsia" w:ascii="宋体" w:hAnsi="宋体" w:eastAsia="宋体" w:cs="宋体"/>
          <w:color w:val="auto"/>
          <w:spacing w:val="-4"/>
          <w:sz w:val="24"/>
          <w:szCs w:val="24"/>
          <w:highlight w:val="none"/>
          <w:lang w:eastAsia="zh-CN"/>
        </w:rPr>
        <w:t>门次。</w:t>
      </w:r>
    </w:p>
    <w:p w14:paraId="7B3FFFE4">
      <w:pPr>
        <w:spacing w:line="400" w:lineRule="exact"/>
        <w:ind w:firstLine="464" w:firstLineChars="200"/>
        <w:jc w:val="both"/>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高级职称教师承担的课程门数为244，占总课程门数的25.71%；课程门次数为498，占开课总门次的15.30%。</w:t>
      </w:r>
    </w:p>
    <w:p w14:paraId="24DC55EA">
      <w:pPr>
        <w:spacing w:line="400" w:lineRule="exact"/>
        <w:ind w:firstLine="464" w:firstLineChars="200"/>
        <w:jc w:val="both"/>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正高级职称教师承担的课程门数为93，占总课程门数的9.80%；课程门次数为155，占开课总门次的4.76%。其中教授职称教师承担的课程门数为69，占总课程门数的7.27%；课程门次数为86，占开课总门次的2.64%。</w:t>
      </w:r>
    </w:p>
    <w:p w14:paraId="24376BC5">
      <w:pPr>
        <w:spacing w:line="400" w:lineRule="exact"/>
        <w:ind w:firstLine="464" w:firstLineChars="200"/>
        <w:jc w:val="both"/>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eastAsia="zh-CN"/>
        </w:rPr>
        <w:t>副高级职称教师承担的课程门数为170，占总课程门数的17.91%；课程门次数为345，占开课总门次的10.60%。其中副教授职称教师承担的课程门数为126，占总课程门数的13.28%；课程门次数为258，占开课总门次的7.93%。</w:t>
      </w:r>
    </w:p>
    <w:p w14:paraId="17B8927C">
      <w:pPr>
        <w:spacing w:line="400" w:lineRule="exact"/>
        <w:ind w:firstLine="480" w:firstLineChars="200"/>
        <w:jc w:val="both"/>
        <w:rPr>
          <w:rFonts w:hint="eastAsia" w:ascii="宋体" w:hAnsi="宋体" w:eastAsia="宋体"/>
          <w:sz w:val="24"/>
          <w:szCs w:val="24"/>
          <w:highlight w:val="none"/>
          <w:u w:val="none"/>
          <w:lang w:val="en-US" w:eastAsia="zh-CN"/>
        </w:rPr>
      </w:pPr>
      <w:r>
        <w:rPr>
          <w:rFonts w:hint="eastAsia" w:ascii="宋体" w:hAnsi="宋体" w:eastAsia="宋体"/>
          <w:sz w:val="24"/>
          <w:szCs w:val="24"/>
          <w:highlight w:val="none"/>
          <w:u w:val="none"/>
          <w:lang w:val="en-US" w:eastAsia="zh-CN"/>
        </w:rPr>
        <w:t>承担本科教学的具有教授职称的教师有13人，以我校具有教授职称教师19人计，主讲本科课程的教授比例为68.42%。</w:t>
      </w:r>
    </w:p>
    <w:p w14:paraId="349F983E">
      <w:pPr>
        <w:spacing w:line="400" w:lineRule="exact"/>
        <w:ind w:firstLine="480" w:firstLineChars="200"/>
        <w:jc w:val="both"/>
        <w:rPr>
          <w:rFonts w:hint="eastAsia" w:ascii="宋体" w:hAnsi="宋体" w:eastAsia="宋体"/>
          <w:sz w:val="24"/>
          <w:szCs w:val="24"/>
          <w:highlight w:val="none"/>
          <w:u w:val="none"/>
          <w:lang w:val="en-US" w:eastAsia="zh-CN"/>
        </w:rPr>
      </w:pPr>
    </w:p>
    <w:p w14:paraId="0963AB93">
      <w:pPr>
        <w:jc w:val="center"/>
        <w:rPr>
          <w:rFonts w:hint="eastAsia" w:eastAsia="宋体"/>
          <w:highlight w:val="none"/>
          <w:lang w:eastAsia="zh-CN"/>
        </w:rPr>
      </w:pPr>
      <w:r>
        <w:rPr>
          <w:rFonts w:hint="eastAsia" w:ascii="宋体" w:hAnsi="宋体" w:eastAsia="宋体"/>
          <w:sz w:val="24"/>
          <w:szCs w:val="24"/>
          <w:highlight w:val="none"/>
          <w:lang w:eastAsia="zh-CN"/>
        </w:rPr>
        <w:drawing>
          <wp:inline distT="0" distB="0" distL="114300" distR="114300">
            <wp:extent cx="5116830" cy="3057525"/>
            <wp:effectExtent l="4445" t="4445" r="22225" b="5080"/>
            <wp:docPr id="18" name="图表 18" descr="{{各职称类别教师承担课程门数占比}}"/>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8BF0C7">
      <w:pPr>
        <w:jc w:val="center"/>
        <w:rPr>
          <w:highlight w:val="none"/>
        </w:rPr>
      </w:pPr>
      <w:r>
        <w:rPr>
          <w:rFonts w:hint="eastAsia" w:ascii="宋体" w:hAnsi="宋体" w:eastAsia="宋体" w:cs="宋体"/>
          <w:spacing w:val="8"/>
          <w:highlight w:val="none"/>
          <w:lang w:val="en-US" w:eastAsia="zh-CN"/>
        </w:rPr>
        <w:t>图2-4 各职称类别教师承担课程门数占比（%）</w:t>
      </w:r>
      <w:r>
        <w:rPr>
          <w:rFonts w:hint="eastAsia" w:ascii="宋体" w:hAnsi="宋体" w:eastAsia="宋体"/>
          <w:sz w:val="24"/>
          <w:szCs w:val="24"/>
          <w:highlight w:val="none"/>
        </w:rPr>
        <w:t>
</w:t>
      </w:r>
    </w:p>
    <w:p w14:paraId="52CBE66F">
      <w:pPr>
        <w:jc w:val="left"/>
        <w:rPr>
          <w:highlight w:val="none"/>
        </w:rPr>
      </w:pPr>
    </w:p>
    <w:p w14:paraId="742FFC3B">
      <w:pPr>
        <w:jc w:val="center"/>
        <w:rPr>
          <w:highlight w:val="none"/>
        </w:rPr>
      </w:pPr>
      <w:r>
        <w:rPr>
          <w:rFonts w:hint="eastAsia" w:ascii="宋体" w:hAnsi="宋体" w:eastAsia="宋体"/>
          <w:sz w:val="24"/>
          <w:szCs w:val="24"/>
          <w:highlight w:val="none"/>
          <w:lang w:eastAsia="zh-CN"/>
        </w:rPr>
        <w:drawing>
          <wp:inline distT="0" distB="0" distL="114300" distR="114300">
            <wp:extent cx="5116830" cy="3057525"/>
            <wp:effectExtent l="4445" t="4445" r="22225" b="5080"/>
            <wp:docPr id="14" name="图表 14" descr="{{近两学年教授为本科生上课情况}}"/>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63A3E1">
      <w:pPr>
        <w:spacing w:line="400" w:lineRule="exact"/>
        <w:ind w:firstLine="452" w:firstLineChars="200"/>
        <w:jc w:val="center"/>
        <w:rPr>
          <w:rFonts w:hint="eastAsia" w:ascii="宋体" w:hAnsi="宋体" w:eastAsia="宋体"/>
          <w:sz w:val="24"/>
          <w:szCs w:val="24"/>
          <w:highlight w:val="none"/>
          <w:u w:val="none"/>
          <w:lang w:val="en-US" w:eastAsia="zh-CN"/>
        </w:rPr>
      </w:pPr>
      <w:r>
        <w:rPr>
          <w:rFonts w:hint="eastAsia" w:ascii="宋体" w:hAnsi="宋体" w:eastAsia="宋体" w:cs="宋体"/>
          <w:spacing w:val="8"/>
          <w:highlight w:val="none"/>
          <w:lang w:val="en-US" w:eastAsia="zh-CN"/>
        </w:rPr>
        <w:t>图2-5  近两学年教授为本科生上课情况（%）</w:t>
      </w:r>
    </w:p>
    <w:p w14:paraId="529A2688">
      <w:pPr>
        <w:adjustRightInd/>
        <w:snapToGrid/>
        <w:spacing w:before="120" w:beforeLines="50" w:after="120" w:afterLines="50"/>
        <w:jc w:val="both"/>
        <w:outlineLvl w:val="1"/>
        <w:rPr>
          <w:rFonts w:hint="eastAsia" w:ascii="黑体" w:hAnsi="黑体" w:eastAsia="黑体" w:cs="黑体"/>
          <w:sz w:val="28"/>
          <w:szCs w:val="28"/>
          <w:highlight w:val="none"/>
          <w:lang w:val="en-US" w:eastAsia="zh-CN"/>
        </w:rPr>
      </w:pPr>
      <w:bookmarkStart w:id="24" w:name="_Toc11235"/>
      <w:r>
        <w:rPr>
          <w:rFonts w:hint="eastAsia" w:ascii="黑体" w:hAnsi="黑体" w:eastAsia="黑体" w:cs="黑体"/>
          <w:sz w:val="28"/>
          <w:szCs w:val="28"/>
          <w:highlight w:val="none"/>
          <w:lang w:val="en-US" w:eastAsia="zh-CN"/>
        </w:rPr>
        <w:t>四、教学经费投入情况</w:t>
      </w:r>
      <w:bookmarkEnd w:id="24"/>
    </w:p>
    <w:p w14:paraId="3A1B9306">
      <w:pPr>
        <w:pStyle w:val="18"/>
        <w:kinsoku/>
        <w:autoSpaceDE/>
        <w:autoSpaceDN/>
        <w:spacing w:line="400" w:lineRule="exact"/>
        <w:ind w:firstLine="480" w:firstLineChars="200"/>
        <w:jc w:val="both"/>
        <w:textAlignment w:val="auto"/>
        <w:rPr>
          <w:rFonts w:ascii="宋体" w:hAnsi="宋体" w:eastAsia="宋体" w:cs="宋体"/>
          <w:bCs/>
          <w:color w:val="auto"/>
          <w:sz w:val="24"/>
          <w:szCs w:val="24"/>
          <w:highlight w:val="none"/>
          <w:lang w:eastAsia="zh-CN" w:bidi="ar"/>
        </w:rPr>
      </w:pPr>
      <w:r>
        <w:rPr>
          <w:rFonts w:hint="eastAsia" w:ascii="宋体" w:hAnsi="宋体" w:eastAsia="宋体" w:cs="宋体"/>
          <w:color w:val="auto"/>
          <w:sz w:val="24"/>
          <w:szCs w:val="24"/>
          <w:highlight w:val="none"/>
          <w:lang w:eastAsia="zh-CN"/>
        </w:rPr>
        <w:t>坚持以教学为中心，保障教学投入的优先地位，确保教学基本建设和日常经费投入及时足额到位。学校年度经费预算中优先安排教学经费，重点增加教学设备购置、专业建设、师资建设和教学业务等方面投入。202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年教学日常运行支出为</w:t>
      </w:r>
      <w:r>
        <w:rPr>
          <w:rFonts w:hint="eastAsia" w:ascii="宋体" w:hAnsi="宋体" w:eastAsia="宋体" w:cs="宋体"/>
          <w:color w:val="auto"/>
          <w:sz w:val="24"/>
          <w:szCs w:val="24"/>
          <w:highlight w:val="none"/>
          <w:lang w:val="en-US" w:eastAsia="zh-CN"/>
        </w:rPr>
        <w:t>3866</w:t>
      </w:r>
      <w:r>
        <w:rPr>
          <w:rFonts w:hint="eastAsia" w:ascii="宋体" w:hAnsi="宋体" w:eastAsia="宋体" w:cs="宋体"/>
          <w:color w:val="auto"/>
          <w:sz w:val="24"/>
          <w:szCs w:val="24"/>
          <w:highlight w:val="none"/>
          <w:lang w:eastAsia="zh-CN"/>
        </w:rPr>
        <w:t>万元，生均为</w:t>
      </w:r>
      <w:r>
        <w:rPr>
          <w:rFonts w:hint="eastAsia" w:ascii="宋体" w:hAnsi="宋体" w:eastAsia="宋体" w:cs="宋体"/>
          <w:b w:val="0"/>
          <w:bCs/>
          <w:sz w:val="24"/>
          <w:szCs w:val="24"/>
          <w:highlight w:val="none"/>
          <w:lang w:val="en-US" w:eastAsia="zh-CN"/>
        </w:rPr>
        <w:t>2528.45</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val="en-US" w:eastAsia="zh-CN"/>
        </w:rPr>
        <w:t>本科实验经费支出440</w:t>
      </w:r>
      <w:r>
        <w:rPr>
          <w:rFonts w:hint="eastAsia" w:ascii="宋体" w:hAnsi="宋体" w:eastAsia="宋体" w:cs="宋体"/>
          <w:color w:val="auto"/>
          <w:sz w:val="24"/>
          <w:szCs w:val="24"/>
          <w:highlight w:val="none"/>
          <w:lang w:eastAsia="zh-CN"/>
        </w:rPr>
        <w:t>万元，生均为</w:t>
      </w:r>
      <w:r>
        <w:rPr>
          <w:rFonts w:hint="eastAsia" w:ascii="宋体" w:hAnsi="宋体" w:eastAsia="宋体" w:cs="宋体"/>
          <w:color w:val="auto"/>
          <w:sz w:val="24"/>
          <w:szCs w:val="24"/>
          <w:highlight w:val="none"/>
          <w:lang w:val="en-US" w:eastAsia="zh-CN"/>
        </w:rPr>
        <w:t>539.94</w:t>
      </w:r>
      <w:r>
        <w:rPr>
          <w:rFonts w:hint="eastAsia" w:ascii="宋体" w:hAnsi="宋体" w:eastAsia="宋体" w:cs="宋体"/>
          <w:color w:val="auto"/>
          <w:sz w:val="24"/>
          <w:szCs w:val="24"/>
          <w:highlight w:val="none"/>
          <w:lang w:eastAsia="zh-CN"/>
        </w:rPr>
        <w:t>元；本科实习经费支出为</w:t>
      </w: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万元，生均为</w:t>
      </w:r>
      <w:r>
        <w:rPr>
          <w:rFonts w:hint="eastAsia" w:ascii="宋体" w:hAnsi="宋体" w:eastAsia="宋体" w:cs="宋体"/>
          <w:color w:val="auto"/>
          <w:sz w:val="24"/>
          <w:szCs w:val="24"/>
          <w:highlight w:val="none"/>
          <w:lang w:val="en-US" w:eastAsia="zh-CN"/>
        </w:rPr>
        <w:t>246.66</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eastAsia="zh-CN"/>
        </w:rPr>
        <w:t>保障了教学工作的有序开展。</w:t>
      </w:r>
    </w:p>
    <w:p w14:paraId="45049D3A">
      <w:pPr>
        <w:adjustRightInd/>
        <w:snapToGrid/>
        <w:spacing w:before="120" w:beforeLines="50" w:after="120" w:afterLines="50"/>
        <w:jc w:val="both"/>
        <w:outlineLvl w:val="1"/>
        <w:rPr>
          <w:rFonts w:ascii="宋体" w:hAnsi="宋体" w:eastAsia="宋体" w:cs="宋体"/>
          <w:sz w:val="24"/>
          <w:szCs w:val="24"/>
          <w:highlight w:val="none"/>
          <w:lang w:eastAsia="zh-CN"/>
        </w:rPr>
      </w:pPr>
      <w:bookmarkStart w:id="25" w:name="bookmark13"/>
      <w:bookmarkEnd w:id="25"/>
      <w:bookmarkStart w:id="26" w:name="_Toc24057"/>
      <w:r>
        <w:rPr>
          <w:rFonts w:hint="eastAsia" w:ascii="黑体" w:hAnsi="黑体" w:eastAsia="黑体" w:cs="黑体"/>
          <w:sz w:val="28"/>
          <w:szCs w:val="28"/>
          <w:highlight w:val="none"/>
          <w:lang w:val="en-US" w:eastAsia="zh-CN"/>
        </w:rPr>
        <w:t>五、教学用房及应用情况</w:t>
      </w:r>
      <w:bookmarkEnd w:id="26"/>
    </w:p>
    <w:p w14:paraId="1DEC2567">
      <w:pPr>
        <w:spacing w:line="4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教学基础设施完备。学校总占地面积70.36万平方米，生均</w:t>
      </w:r>
      <w:r>
        <w:rPr>
          <w:rFonts w:hint="eastAsia" w:ascii="宋体" w:hAnsi="宋体" w:eastAsia="宋体" w:cs="宋体"/>
          <w:color w:val="auto"/>
          <w:sz w:val="24"/>
          <w:szCs w:val="24"/>
          <w:highlight w:val="none"/>
          <w:lang w:val="en-US" w:eastAsia="zh-CN"/>
        </w:rPr>
        <w:t>46.02</w:t>
      </w:r>
      <w:r>
        <w:rPr>
          <w:rFonts w:hint="eastAsia" w:ascii="宋体" w:hAnsi="宋体" w:eastAsia="宋体" w:cs="宋体"/>
          <w:color w:val="auto"/>
          <w:sz w:val="24"/>
          <w:szCs w:val="24"/>
          <w:highlight w:val="none"/>
          <w:lang w:eastAsia="zh-CN"/>
        </w:rPr>
        <w:t>平方米；总建筑面积</w:t>
      </w:r>
      <w:r>
        <w:rPr>
          <w:rFonts w:hint="eastAsia" w:ascii="宋体" w:hAnsi="宋体" w:eastAsia="宋体" w:cs="宋体"/>
          <w:color w:val="auto"/>
          <w:sz w:val="24"/>
          <w:szCs w:val="24"/>
          <w:highlight w:val="none"/>
          <w:lang w:val="en-US" w:eastAsia="zh-CN"/>
        </w:rPr>
        <w:t>39.62</w:t>
      </w:r>
      <w:r>
        <w:rPr>
          <w:rFonts w:hint="eastAsia" w:ascii="宋体" w:hAnsi="宋体" w:eastAsia="宋体" w:cs="宋体"/>
          <w:color w:val="auto"/>
          <w:sz w:val="24"/>
          <w:szCs w:val="24"/>
          <w:highlight w:val="none"/>
          <w:lang w:eastAsia="zh-CN"/>
        </w:rPr>
        <w:t>万平方米，生均</w:t>
      </w:r>
      <w:r>
        <w:rPr>
          <w:rFonts w:hint="eastAsia" w:ascii="宋体" w:hAnsi="宋体" w:eastAsia="宋体" w:cs="宋体"/>
          <w:color w:val="auto"/>
          <w:sz w:val="24"/>
          <w:szCs w:val="24"/>
          <w:highlight w:val="none"/>
          <w:lang w:val="en-US" w:eastAsia="zh-CN"/>
        </w:rPr>
        <w:t>25.91</w:t>
      </w:r>
      <w:r>
        <w:rPr>
          <w:rFonts w:hint="eastAsia" w:ascii="宋体" w:hAnsi="宋体" w:eastAsia="宋体" w:cs="宋体"/>
          <w:color w:val="auto"/>
          <w:sz w:val="24"/>
          <w:szCs w:val="24"/>
          <w:highlight w:val="none"/>
          <w:lang w:eastAsia="zh-CN"/>
        </w:rPr>
        <w:t>平方米；学校现有教学行政用房面积（教学科研及辅助用房+行政办公用房）共</w:t>
      </w:r>
      <w:r>
        <w:rPr>
          <w:rFonts w:hint="eastAsia" w:ascii="宋体" w:hAnsi="宋体" w:eastAsia="宋体" w:cs="宋体"/>
          <w:color w:val="auto"/>
          <w:sz w:val="24"/>
          <w:szCs w:val="24"/>
          <w:highlight w:val="none"/>
          <w:lang w:val="en-US" w:eastAsia="zh-CN"/>
        </w:rPr>
        <w:t>17.91万</w:t>
      </w:r>
      <w:r>
        <w:rPr>
          <w:rFonts w:hint="eastAsia" w:ascii="宋体" w:hAnsi="宋体" w:eastAsia="宋体" w:cs="宋体"/>
          <w:color w:val="auto"/>
          <w:sz w:val="24"/>
          <w:szCs w:val="24"/>
          <w:highlight w:val="none"/>
          <w:lang w:eastAsia="zh-CN"/>
        </w:rPr>
        <w:t>平方米，生均</w:t>
      </w:r>
      <w:r>
        <w:rPr>
          <w:rFonts w:hint="eastAsia" w:ascii="宋体" w:hAnsi="宋体" w:eastAsia="宋体" w:cs="宋体"/>
          <w:color w:val="auto"/>
          <w:sz w:val="24"/>
          <w:szCs w:val="24"/>
          <w:highlight w:val="none"/>
          <w:lang w:val="en-US" w:eastAsia="zh-CN"/>
        </w:rPr>
        <w:t>11.72</w:t>
      </w:r>
      <w:r>
        <w:rPr>
          <w:rFonts w:hint="eastAsia" w:ascii="宋体" w:hAnsi="宋体" w:eastAsia="宋体" w:cs="宋体"/>
          <w:color w:val="auto"/>
          <w:sz w:val="24"/>
          <w:szCs w:val="24"/>
          <w:highlight w:val="none"/>
          <w:lang w:eastAsia="zh-CN"/>
        </w:rPr>
        <w:t>平方米；其中教室面积</w:t>
      </w:r>
      <w:r>
        <w:rPr>
          <w:rFonts w:hint="eastAsia" w:ascii="宋体" w:hAnsi="宋体" w:eastAsia="宋体" w:cs="宋体"/>
          <w:color w:val="auto"/>
          <w:sz w:val="24"/>
          <w:szCs w:val="24"/>
          <w:highlight w:val="none"/>
          <w:lang w:val="en-US" w:eastAsia="zh-CN"/>
        </w:rPr>
        <w:t>5.89</w:t>
      </w:r>
      <w:r>
        <w:rPr>
          <w:rFonts w:hint="eastAsia" w:ascii="宋体" w:hAnsi="宋体" w:eastAsia="宋体" w:cs="宋体"/>
          <w:color w:val="auto"/>
          <w:sz w:val="24"/>
          <w:szCs w:val="24"/>
          <w:highlight w:val="none"/>
          <w:lang w:eastAsia="zh-CN"/>
        </w:rPr>
        <w:t>万平方米（含智慧教室面积28274.0m2），实验、实习场所面积</w:t>
      </w:r>
      <w:r>
        <w:rPr>
          <w:rFonts w:hint="eastAsia" w:ascii="宋体" w:hAnsi="宋体" w:eastAsia="宋体" w:cs="宋体"/>
          <w:color w:val="auto"/>
          <w:sz w:val="24"/>
          <w:szCs w:val="24"/>
          <w:highlight w:val="none"/>
          <w:lang w:val="en-US" w:eastAsia="zh-CN"/>
        </w:rPr>
        <w:t>4.05</w:t>
      </w:r>
      <w:r>
        <w:rPr>
          <w:rFonts w:hint="eastAsia" w:ascii="宋体" w:hAnsi="宋体" w:eastAsia="宋体" w:cs="宋体"/>
          <w:color w:val="auto"/>
          <w:sz w:val="24"/>
          <w:szCs w:val="24"/>
          <w:highlight w:val="none"/>
          <w:lang w:eastAsia="zh-CN"/>
        </w:rPr>
        <w:t>万平方米，生均</w:t>
      </w: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lang w:eastAsia="zh-CN"/>
        </w:rPr>
        <w:t>平方米，建有10个实验实训中心，设1</w:t>
      </w:r>
      <w:r>
        <w:rPr>
          <w:rFonts w:hint="eastAsia" w:ascii="宋体" w:hAnsi="宋体" w:eastAsia="宋体" w:cs="宋体"/>
          <w:color w:val="auto"/>
          <w:sz w:val="24"/>
          <w:szCs w:val="24"/>
          <w:highlight w:val="none"/>
          <w:lang w:val="en-US" w:eastAsia="zh-CN"/>
        </w:rPr>
        <w:t>91</w:t>
      </w:r>
      <w:r>
        <w:rPr>
          <w:rFonts w:hint="eastAsia" w:ascii="宋体" w:hAnsi="宋体" w:eastAsia="宋体" w:cs="宋体"/>
          <w:color w:val="auto"/>
          <w:sz w:val="24"/>
          <w:szCs w:val="24"/>
          <w:highlight w:val="none"/>
          <w:lang w:eastAsia="zh-CN"/>
        </w:rPr>
        <w:t>个实验（实训）室，各专业均建有完备的实验实训室，能够满足应用型人才培养的需求。</w:t>
      </w:r>
    </w:p>
    <w:p w14:paraId="2A095E3A">
      <w:pPr>
        <w:spacing w:line="4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学生活动场所充足。学校运动场所占地面积为7.65万平方米，拥有2个标准田径运动场、2个足球场、12个篮球场、</w:t>
      </w:r>
      <w:r>
        <w:rPr>
          <w:rFonts w:ascii="宋体" w:hAnsi="宋体" w:eastAsia="宋体" w:cs="宋体"/>
          <w:color w:val="auto"/>
          <w:sz w:val="24"/>
          <w:szCs w:val="24"/>
          <w:highlight w:val="none"/>
          <w:lang w:eastAsia="zh-CN"/>
        </w:rPr>
        <w:t>2个多功能网球排球场等室外运动场所，其中天行健体育场</w:t>
      </w:r>
      <w:r>
        <w:rPr>
          <w:rFonts w:hint="eastAsia" w:ascii="宋体" w:hAnsi="宋体" w:eastAsia="宋体" w:cs="宋体"/>
          <w:color w:val="auto"/>
          <w:sz w:val="24"/>
          <w:szCs w:val="24"/>
          <w:highlight w:val="none"/>
          <w:lang w:eastAsia="zh-CN"/>
        </w:rPr>
        <w:t>看台</w:t>
      </w:r>
      <w:r>
        <w:rPr>
          <w:rFonts w:ascii="宋体" w:hAnsi="宋体" w:eastAsia="宋体" w:cs="宋体"/>
          <w:color w:val="auto"/>
          <w:sz w:val="24"/>
          <w:szCs w:val="24"/>
          <w:highlight w:val="none"/>
          <w:lang w:eastAsia="zh-CN"/>
        </w:rPr>
        <w:t>可容纳17000名观众。建有综合性室内体育馆，建筑面积7572.34平方米，设有篮球场、羽毛球场、乒乓球场、瑜伽室、健身房等室内场馆。活动场所能够满足体育教学、竞赛训练和社团活动等需要，设施利用率高。</w:t>
      </w:r>
      <w:r>
        <w:rPr>
          <w:rFonts w:hint="eastAsia" w:ascii="宋体" w:hAnsi="宋体" w:eastAsia="宋体" w:cs="宋体"/>
          <w:color w:val="auto"/>
          <w:sz w:val="24"/>
          <w:szCs w:val="24"/>
          <w:highlight w:val="none"/>
          <w:lang w:eastAsia="zh-CN"/>
        </w:rPr>
        <w:t>各生均面积详细情况见表2-3，学校体育场及各楼宇分布情况见图2-4、图2-5。</w:t>
      </w:r>
    </w:p>
    <w:p w14:paraId="5CF89CBF">
      <w:pPr>
        <w:spacing w:line="400" w:lineRule="exact"/>
        <w:jc w:val="center"/>
        <w:rPr>
          <w:rFonts w:ascii="宋体" w:hAnsi="宋体" w:eastAsia="宋体" w:cs="宋体"/>
          <w:highlight w:val="none"/>
        </w:rPr>
      </w:pPr>
      <w:r>
        <w:rPr>
          <w:rFonts w:ascii="宋体" w:hAnsi="宋体" w:eastAsia="宋体" w:cs="宋体"/>
          <w:spacing w:val="7"/>
          <w:highlight w:val="none"/>
        </w:rPr>
        <w:t>表</w:t>
      </w:r>
      <w:r>
        <w:rPr>
          <w:rFonts w:hint="eastAsia" w:ascii="宋体" w:hAnsi="宋体" w:eastAsia="宋体" w:cs="宋体"/>
          <w:spacing w:val="-31"/>
          <w:highlight w:val="none"/>
          <w:lang w:eastAsia="zh-CN"/>
        </w:rPr>
        <w:t xml:space="preserve">2-3    </w:t>
      </w:r>
      <w:r>
        <w:rPr>
          <w:rFonts w:ascii="宋体" w:hAnsi="宋体" w:eastAsia="宋体" w:cs="宋体"/>
          <w:spacing w:val="7"/>
          <w:highlight w:val="none"/>
        </w:rPr>
        <w:t>各生均面积详细情况</w:t>
      </w:r>
    </w:p>
    <w:tbl>
      <w:tblPr>
        <w:tblStyle w:val="20"/>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2302"/>
        <w:gridCol w:w="2849"/>
        <w:gridCol w:w="3371"/>
      </w:tblGrid>
      <w:tr w14:paraId="37AA7F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tblHeader/>
          <w:jc w:val="center"/>
        </w:trPr>
        <w:tc>
          <w:tcPr>
            <w:tcW w:w="2302" w:type="dxa"/>
            <w:vAlign w:val="center"/>
          </w:tcPr>
          <w:p w14:paraId="083D743E">
            <w:pPr>
              <w:widowControl w:val="0"/>
              <w:jc w:val="center"/>
              <w:rPr>
                <w:highlight w:val="none"/>
              </w:rPr>
            </w:pPr>
            <w:r>
              <w:rPr>
                <w:rFonts w:hint="eastAsia" w:ascii="宋体" w:hAnsi="宋体" w:eastAsia="宋体"/>
                <w:b/>
                <w:sz w:val="21"/>
                <w:szCs w:val="21"/>
                <w:highlight w:val="none"/>
              </w:rPr>
              <w:t>类别</w:t>
            </w:r>
          </w:p>
        </w:tc>
        <w:tc>
          <w:tcPr>
            <w:tcW w:w="2849" w:type="dxa"/>
            <w:vAlign w:val="center"/>
          </w:tcPr>
          <w:p w14:paraId="1C006119">
            <w:pPr>
              <w:widowControl w:val="0"/>
              <w:jc w:val="center"/>
              <w:rPr>
                <w:highlight w:val="none"/>
              </w:rPr>
            </w:pPr>
            <w:r>
              <w:rPr>
                <w:rFonts w:hint="eastAsia" w:ascii="宋体" w:hAnsi="宋体" w:eastAsia="宋体"/>
                <w:b/>
                <w:sz w:val="21"/>
                <w:szCs w:val="21"/>
                <w:highlight w:val="none"/>
              </w:rPr>
              <w:t>总面积（平方米）</w:t>
            </w:r>
          </w:p>
        </w:tc>
        <w:tc>
          <w:tcPr>
            <w:tcW w:w="3371" w:type="dxa"/>
            <w:vAlign w:val="center"/>
          </w:tcPr>
          <w:p w14:paraId="4905B35B">
            <w:pPr>
              <w:widowControl w:val="0"/>
              <w:jc w:val="center"/>
              <w:rPr>
                <w:highlight w:val="none"/>
              </w:rPr>
            </w:pPr>
            <w:r>
              <w:rPr>
                <w:rFonts w:hint="eastAsia" w:ascii="宋体" w:hAnsi="宋体" w:eastAsia="宋体"/>
                <w:b/>
                <w:sz w:val="21"/>
                <w:szCs w:val="21"/>
                <w:highlight w:val="none"/>
              </w:rPr>
              <w:t>生均面积（平方米）</w:t>
            </w:r>
          </w:p>
        </w:tc>
      </w:tr>
      <w:tr w14:paraId="7239DB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2302" w:type="dxa"/>
            <w:vAlign w:val="center"/>
          </w:tcPr>
          <w:p w14:paraId="59E10C81">
            <w:pPr>
              <w:widowControl w:val="0"/>
              <w:jc w:val="center"/>
              <w:rPr>
                <w:highlight w:val="none"/>
              </w:rPr>
            </w:pPr>
            <w:r>
              <w:rPr>
                <w:rFonts w:hint="eastAsia" w:ascii="宋体" w:hAnsi="宋体" w:eastAsia="宋体"/>
                <w:b/>
                <w:sz w:val="21"/>
                <w:szCs w:val="21"/>
                <w:highlight w:val="none"/>
              </w:rPr>
              <w:t>占地面积</w:t>
            </w:r>
          </w:p>
        </w:tc>
        <w:tc>
          <w:tcPr>
            <w:tcW w:w="2849" w:type="dxa"/>
            <w:vAlign w:val="center"/>
          </w:tcPr>
          <w:p w14:paraId="0B4EC4C6">
            <w:pPr>
              <w:widowControl w:val="0"/>
              <w:jc w:val="center"/>
              <w:rPr>
                <w:rFonts w:hint="default" w:eastAsiaTheme="minorEastAsia"/>
                <w:i w:val="0"/>
                <w:iCs w:val="0"/>
                <w:highlight w:val="none"/>
                <w:u w:val="none"/>
                <w:lang w:val="en-US" w:eastAsia="zh-CN"/>
              </w:rPr>
            </w:pPr>
            <w:r>
              <w:rPr>
                <w:rFonts w:hint="eastAsia" w:ascii="宋体" w:hAnsi="宋体" w:eastAsia="宋体"/>
                <w:i w:val="0"/>
                <w:iCs w:val="0"/>
                <w:sz w:val="24"/>
                <w:szCs w:val="24"/>
                <w:highlight w:val="none"/>
                <w:u w:val="none"/>
                <w:lang w:val="en-US" w:eastAsia="zh-CN"/>
              </w:rPr>
              <w:t>703617.33</w:t>
            </w:r>
          </w:p>
        </w:tc>
        <w:tc>
          <w:tcPr>
            <w:tcW w:w="3371" w:type="dxa"/>
            <w:vAlign w:val="center"/>
          </w:tcPr>
          <w:p w14:paraId="532D48B8">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46.02</w:t>
            </w:r>
          </w:p>
        </w:tc>
      </w:tr>
      <w:tr w14:paraId="050170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2302" w:type="dxa"/>
            <w:vAlign w:val="center"/>
          </w:tcPr>
          <w:p w14:paraId="3F15E7A1">
            <w:pPr>
              <w:widowControl w:val="0"/>
              <w:jc w:val="center"/>
              <w:rPr>
                <w:highlight w:val="none"/>
              </w:rPr>
            </w:pPr>
            <w:r>
              <w:rPr>
                <w:rFonts w:hint="eastAsia" w:ascii="宋体" w:hAnsi="宋体" w:eastAsia="宋体"/>
                <w:b/>
                <w:sz w:val="21"/>
                <w:szCs w:val="21"/>
                <w:highlight w:val="none"/>
              </w:rPr>
              <w:t>建筑面积</w:t>
            </w:r>
          </w:p>
        </w:tc>
        <w:tc>
          <w:tcPr>
            <w:tcW w:w="2849" w:type="dxa"/>
            <w:vAlign w:val="center"/>
          </w:tcPr>
          <w:p w14:paraId="5AE01371">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396157.43</w:t>
            </w:r>
          </w:p>
        </w:tc>
        <w:tc>
          <w:tcPr>
            <w:tcW w:w="3371" w:type="dxa"/>
            <w:vAlign w:val="center"/>
          </w:tcPr>
          <w:p w14:paraId="04732CCD">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25.91</w:t>
            </w:r>
          </w:p>
        </w:tc>
      </w:tr>
      <w:tr w14:paraId="3D0FDC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2302" w:type="dxa"/>
            <w:vAlign w:val="center"/>
          </w:tcPr>
          <w:p w14:paraId="7F6E6729">
            <w:pPr>
              <w:widowControl w:val="0"/>
              <w:jc w:val="center"/>
              <w:rPr>
                <w:highlight w:val="none"/>
              </w:rPr>
            </w:pPr>
            <w:r>
              <w:rPr>
                <w:rFonts w:hint="eastAsia" w:ascii="宋体" w:hAnsi="宋体" w:eastAsia="宋体"/>
                <w:b/>
                <w:sz w:val="21"/>
                <w:szCs w:val="21"/>
                <w:highlight w:val="none"/>
              </w:rPr>
              <w:t>教学行政用房面积</w:t>
            </w:r>
          </w:p>
        </w:tc>
        <w:tc>
          <w:tcPr>
            <w:tcW w:w="2849" w:type="dxa"/>
            <w:vAlign w:val="center"/>
          </w:tcPr>
          <w:p w14:paraId="1CD8E95A">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179131.02</w:t>
            </w:r>
          </w:p>
        </w:tc>
        <w:tc>
          <w:tcPr>
            <w:tcW w:w="3371" w:type="dxa"/>
            <w:vAlign w:val="center"/>
          </w:tcPr>
          <w:p w14:paraId="2F62C204">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11.72</w:t>
            </w:r>
          </w:p>
        </w:tc>
      </w:tr>
      <w:tr w14:paraId="06A3B7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2302" w:type="dxa"/>
            <w:vAlign w:val="center"/>
          </w:tcPr>
          <w:p w14:paraId="23ADAF99">
            <w:pPr>
              <w:widowControl w:val="0"/>
              <w:jc w:val="center"/>
              <w:rPr>
                <w:highlight w:val="none"/>
              </w:rPr>
            </w:pPr>
            <w:r>
              <w:rPr>
                <w:rFonts w:hint="eastAsia" w:ascii="宋体" w:hAnsi="宋体" w:eastAsia="宋体"/>
                <w:b/>
                <w:sz w:val="21"/>
                <w:szCs w:val="21"/>
                <w:highlight w:val="none"/>
              </w:rPr>
              <w:t>实验、实习场所面积</w:t>
            </w:r>
          </w:p>
        </w:tc>
        <w:tc>
          <w:tcPr>
            <w:tcW w:w="2849" w:type="dxa"/>
            <w:vAlign w:val="center"/>
          </w:tcPr>
          <w:p w14:paraId="125FCE2F">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40511.05</w:t>
            </w:r>
          </w:p>
        </w:tc>
        <w:tc>
          <w:tcPr>
            <w:tcW w:w="3371" w:type="dxa"/>
            <w:vAlign w:val="center"/>
          </w:tcPr>
          <w:p w14:paraId="36DCBC91">
            <w:pPr>
              <w:widowControl w:val="0"/>
              <w:jc w:val="center"/>
              <w:rPr>
                <w:i w:val="0"/>
                <w:iCs w:val="0"/>
                <w:highlight w:val="none"/>
                <w:u w:val="none"/>
              </w:rPr>
            </w:pPr>
            <w:r>
              <w:rPr>
                <w:rFonts w:hint="eastAsia" w:ascii="宋体" w:hAnsi="宋体" w:eastAsia="宋体"/>
                <w:i w:val="0"/>
                <w:iCs w:val="0"/>
                <w:sz w:val="24"/>
                <w:szCs w:val="24"/>
                <w:highlight w:val="none"/>
                <w:u w:val="none"/>
                <w:lang w:val="en-US" w:eastAsia="zh-CN"/>
              </w:rPr>
              <w:t>2.65</w:t>
            </w:r>
          </w:p>
        </w:tc>
      </w:tr>
      <w:tr w14:paraId="316F56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2302" w:type="dxa"/>
            <w:vAlign w:val="center"/>
          </w:tcPr>
          <w:p w14:paraId="2266618D">
            <w:pPr>
              <w:widowControl w:val="0"/>
              <w:jc w:val="center"/>
              <w:rPr>
                <w:highlight w:val="none"/>
              </w:rPr>
            </w:pPr>
            <w:r>
              <w:rPr>
                <w:rFonts w:hint="eastAsia" w:ascii="宋体" w:hAnsi="宋体" w:eastAsia="宋体"/>
                <w:b/>
                <w:sz w:val="21"/>
                <w:szCs w:val="21"/>
                <w:highlight w:val="none"/>
              </w:rPr>
              <w:t>体育馆面积</w:t>
            </w:r>
          </w:p>
        </w:tc>
        <w:tc>
          <w:tcPr>
            <w:tcW w:w="2849" w:type="dxa"/>
            <w:vAlign w:val="center"/>
          </w:tcPr>
          <w:p w14:paraId="086956C7">
            <w:pPr>
              <w:widowControl w:val="0"/>
              <w:jc w:val="center"/>
              <w:rPr>
                <w:highlight w:val="none"/>
                <w:u w:val="none"/>
              </w:rPr>
            </w:pPr>
            <w:r>
              <w:rPr>
                <w:rFonts w:hint="eastAsia" w:ascii="宋体" w:hAnsi="宋体" w:eastAsia="宋体"/>
                <w:sz w:val="24"/>
                <w:szCs w:val="24"/>
                <w:highlight w:val="none"/>
                <w:u w:val="none"/>
                <w:lang w:val="en-US" w:eastAsia="zh-CN"/>
              </w:rPr>
              <w:t>7572.34</w:t>
            </w:r>
          </w:p>
        </w:tc>
        <w:tc>
          <w:tcPr>
            <w:tcW w:w="3371" w:type="dxa"/>
            <w:vAlign w:val="center"/>
          </w:tcPr>
          <w:p w14:paraId="4DB7D6DC">
            <w:pPr>
              <w:widowControl w:val="0"/>
              <w:jc w:val="center"/>
              <w:rPr>
                <w:highlight w:val="none"/>
                <w:u w:val="none"/>
              </w:rPr>
            </w:pPr>
            <w:r>
              <w:rPr>
                <w:rFonts w:hint="eastAsia" w:ascii="宋体" w:hAnsi="宋体" w:eastAsia="宋体"/>
                <w:sz w:val="24"/>
                <w:szCs w:val="24"/>
                <w:highlight w:val="none"/>
                <w:u w:val="none"/>
                <w:lang w:val="en-US" w:eastAsia="zh-CN"/>
              </w:rPr>
              <w:t>0.50</w:t>
            </w:r>
          </w:p>
        </w:tc>
      </w:tr>
      <w:tr w14:paraId="73923E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2302" w:type="dxa"/>
            <w:vAlign w:val="center"/>
          </w:tcPr>
          <w:p w14:paraId="75E20D93">
            <w:pPr>
              <w:widowControl w:val="0"/>
              <w:jc w:val="center"/>
              <w:rPr>
                <w:highlight w:val="none"/>
              </w:rPr>
            </w:pPr>
            <w:r>
              <w:rPr>
                <w:rFonts w:hint="eastAsia" w:ascii="宋体" w:hAnsi="宋体" w:eastAsia="宋体"/>
                <w:b/>
                <w:sz w:val="21"/>
                <w:szCs w:val="21"/>
                <w:highlight w:val="none"/>
              </w:rPr>
              <w:t>运动场面积</w:t>
            </w:r>
          </w:p>
        </w:tc>
        <w:tc>
          <w:tcPr>
            <w:tcW w:w="2849" w:type="dxa"/>
            <w:vAlign w:val="center"/>
          </w:tcPr>
          <w:p w14:paraId="6E1712AF">
            <w:pPr>
              <w:widowControl w:val="0"/>
              <w:jc w:val="center"/>
              <w:rPr>
                <w:highlight w:val="none"/>
                <w:u w:val="none"/>
              </w:rPr>
            </w:pPr>
            <w:r>
              <w:rPr>
                <w:rFonts w:hint="eastAsia" w:ascii="宋体" w:hAnsi="宋体" w:eastAsia="宋体"/>
                <w:sz w:val="24"/>
                <w:szCs w:val="24"/>
                <w:highlight w:val="none"/>
                <w:u w:val="none"/>
                <w:lang w:val="en-US" w:eastAsia="zh-CN"/>
              </w:rPr>
              <w:t>76478.83</w:t>
            </w:r>
          </w:p>
        </w:tc>
        <w:tc>
          <w:tcPr>
            <w:tcW w:w="3371" w:type="dxa"/>
            <w:vAlign w:val="center"/>
          </w:tcPr>
          <w:p w14:paraId="35FA199F">
            <w:pPr>
              <w:widowControl w:val="0"/>
              <w:jc w:val="center"/>
              <w:rPr>
                <w:highlight w:val="none"/>
                <w:u w:val="none"/>
              </w:rPr>
            </w:pPr>
            <w:r>
              <w:rPr>
                <w:rFonts w:hint="eastAsia" w:ascii="宋体" w:hAnsi="宋体" w:eastAsia="宋体"/>
                <w:sz w:val="24"/>
                <w:szCs w:val="24"/>
                <w:highlight w:val="none"/>
                <w:u w:val="none"/>
                <w:lang w:val="en-US" w:eastAsia="zh-CN"/>
              </w:rPr>
              <w:t>5.00</w:t>
            </w:r>
          </w:p>
        </w:tc>
      </w:tr>
    </w:tbl>
    <w:p w14:paraId="6D2ACFB2">
      <w:pPr>
        <w:pStyle w:val="9"/>
        <w:rPr>
          <w:highlight w:val="none"/>
        </w:rPr>
      </w:pPr>
    </w:p>
    <w:p w14:paraId="6FE66F63">
      <w:pPr>
        <w:pStyle w:val="9"/>
        <w:jc w:val="center"/>
        <w:rPr>
          <w:rFonts w:eastAsia="宋体"/>
          <w:highlight w:val="none"/>
          <w:lang w:eastAsia="zh-CN"/>
        </w:rPr>
      </w:pPr>
      <w:r>
        <w:rPr>
          <w:highlight w:val="none"/>
          <w:lang w:eastAsia="zh-CN"/>
        </w:rPr>
        <w:drawing>
          <wp:inline distT="0" distB="0" distL="114300" distR="114300">
            <wp:extent cx="2678430" cy="2178050"/>
            <wp:effectExtent l="0" t="0" r="7620" b="12700"/>
            <wp:docPr id="40" name="图片 30" descr="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0" descr="006"/>
                    <pic:cNvPicPr>
                      <a:picLocks noChangeAspect="1"/>
                    </pic:cNvPicPr>
                  </pic:nvPicPr>
                  <pic:blipFill>
                    <a:blip r:embed="rId18"/>
                    <a:srcRect l="6376" t="545" r="7960"/>
                    <a:stretch>
                      <a:fillRect/>
                    </a:stretch>
                  </pic:blipFill>
                  <pic:spPr>
                    <a:xfrm>
                      <a:off x="0" y="0"/>
                      <a:ext cx="2678430" cy="2178050"/>
                    </a:xfrm>
                    <a:prstGeom prst="rect">
                      <a:avLst/>
                    </a:prstGeom>
                  </pic:spPr>
                </pic:pic>
              </a:graphicData>
            </a:graphic>
          </wp:inline>
        </w:drawing>
      </w:r>
      <w:r>
        <w:rPr>
          <w:rFonts w:ascii="宋体" w:hAnsi="宋体" w:eastAsia="宋体" w:cs="宋体"/>
          <w:sz w:val="24"/>
          <w:szCs w:val="24"/>
          <w:highlight w:val="none"/>
          <w:lang w:eastAsia="zh-CN"/>
        </w:rPr>
        <w:drawing>
          <wp:inline distT="0" distB="0" distL="114300" distR="114300">
            <wp:extent cx="2743835" cy="2179320"/>
            <wp:effectExtent l="0" t="0" r="18415" b="11430"/>
            <wp:docPr id="2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IMG_256"/>
                    <pic:cNvPicPr>
                      <a:picLocks noChangeAspect="1"/>
                    </pic:cNvPicPr>
                  </pic:nvPicPr>
                  <pic:blipFill>
                    <a:blip r:embed="rId19"/>
                    <a:srcRect t="5427" b="6682"/>
                    <a:stretch>
                      <a:fillRect/>
                    </a:stretch>
                  </pic:blipFill>
                  <pic:spPr>
                    <a:xfrm>
                      <a:off x="0" y="0"/>
                      <a:ext cx="2743835" cy="2179320"/>
                    </a:xfrm>
                    <a:prstGeom prst="rect">
                      <a:avLst/>
                    </a:prstGeom>
                    <a:noFill/>
                    <a:ln w="9525">
                      <a:noFill/>
                    </a:ln>
                  </pic:spPr>
                </pic:pic>
              </a:graphicData>
            </a:graphic>
          </wp:inline>
        </w:drawing>
      </w:r>
    </w:p>
    <w:p w14:paraId="35DEC15C">
      <w:pPr>
        <w:pStyle w:val="9"/>
        <w:jc w:val="center"/>
        <w:rPr>
          <w:rFonts w:ascii="黑体" w:hAnsi="黑体" w:eastAsia="黑体" w:cs="黑体"/>
          <w:spacing w:val="-4"/>
          <w:sz w:val="24"/>
          <w:szCs w:val="24"/>
          <w:highlight w:val="none"/>
          <w:lang w:eastAsia="zh-CN"/>
        </w:rPr>
      </w:pPr>
      <w:r>
        <w:rPr>
          <w:highlight w:val="none"/>
          <w:lang w:eastAsia="zh-CN"/>
        </w:rPr>
        <mc:AlternateContent>
          <mc:Choice Requires="wps">
            <w:drawing>
              <wp:anchor distT="0" distB="0" distL="114300" distR="114300" simplePos="0" relativeHeight="251661312" behindDoc="0" locked="0" layoutInCell="1" allowOverlap="1">
                <wp:simplePos x="0" y="0"/>
                <wp:positionH relativeFrom="column">
                  <wp:posOffset>2774950</wp:posOffset>
                </wp:positionH>
                <wp:positionV relativeFrom="paragraph">
                  <wp:posOffset>27940</wp:posOffset>
                </wp:positionV>
                <wp:extent cx="2762250" cy="294640"/>
                <wp:effectExtent l="0" t="0" r="0" b="10160"/>
                <wp:wrapNone/>
                <wp:docPr id="13" name="文本框 13"/>
                <wp:cNvGraphicFramePr/>
                <a:graphic xmlns:a="http://schemas.openxmlformats.org/drawingml/2006/main">
                  <a:graphicData uri="http://schemas.microsoft.com/office/word/2010/wordprocessingShape">
                    <wps:wsp>
                      <wps:cNvSpPr txBox="1"/>
                      <wps:spPr>
                        <a:xfrm>
                          <a:off x="3783330" y="8178165"/>
                          <a:ext cx="2762250" cy="2946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A79C5F7">
                            <w:pPr>
                              <w:jc w:val="center"/>
                              <w:rPr>
                                <w:rFonts w:ascii="宋体" w:hAnsi="宋体" w:eastAsia="宋体" w:cs="宋体"/>
                                <w:lang w:eastAsia="zh-CN"/>
                              </w:rPr>
                            </w:pPr>
                            <w:r>
                              <w:rPr>
                                <w:rFonts w:hint="eastAsia" w:ascii="宋体" w:hAnsi="宋体" w:eastAsia="宋体" w:cs="宋体"/>
                                <w:lang w:eastAsia="zh-CN"/>
                              </w:rPr>
                              <w:t>图2-</w:t>
                            </w:r>
                            <w:r>
                              <w:rPr>
                                <w:rFonts w:hint="eastAsia" w:ascii="宋体" w:hAnsi="宋体" w:eastAsia="宋体" w:cs="宋体"/>
                                <w:lang w:val="en-US" w:eastAsia="zh-CN"/>
                              </w:rPr>
                              <w:t>7</w:t>
                            </w:r>
                            <w:r>
                              <w:rPr>
                                <w:rFonts w:hint="eastAsia" w:ascii="宋体" w:hAnsi="宋体" w:eastAsia="宋体" w:cs="宋体"/>
                                <w:lang w:eastAsia="zh-CN"/>
                              </w:rPr>
                              <w:t xml:space="preserve"> 学校鸟瞰图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8.5pt;margin-top:2.2pt;height:23.2pt;width:217.5pt;z-index:251661312;mso-width-relative:page;mso-height-relative:page;" fillcolor="#FFFFFF [3201]" filled="t" stroked="f" coordsize="21600,21600" o:gfxdata="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bJBea&#10;1AAAAAgBAAAPAAAAAAAAAAEAIAAAACIAAABkcnMvZG93bnJldi54bWxQSwECFAAUAAAACACHTuJA&#10;z9BbRV4CAACdBAAADgAAAAAAAAABACAAAAAjAQAAZHJzL2Uyb0RvYy54bWxQSwUGAAAAAAYABgBZ&#10;AQAA8wUAAAAA&#10;">
                <v:fill on="t" focussize="0,0"/>
                <v:stroke on="f" weight="0.5pt"/>
                <v:imagedata o:title=""/>
                <o:lock v:ext="edit" aspectratio="f"/>
                <v:textbox>
                  <w:txbxContent>
                    <w:p w14:paraId="1A79C5F7">
                      <w:pPr>
                        <w:jc w:val="center"/>
                        <w:rPr>
                          <w:rFonts w:ascii="宋体" w:hAnsi="宋体" w:eastAsia="宋体" w:cs="宋体"/>
                          <w:lang w:eastAsia="zh-CN"/>
                        </w:rPr>
                      </w:pPr>
                      <w:r>
                        <w:rPr>
                          <w:rFonts w:hint="eastAsia" w:ascii="宋体" w:hAnsi="宋体" w:eastAsia="宋体" w:cs="宋体"/>
                          <w:lang w:eastAsia="zh-CN"/>
                        </w:rPr>
                        <w:t>图2-</w:t>
                      </w:r>
                      <w:r>
                        <w:rPr>
                          <w:rFonts w:hint="eastAsia" w:ascii="宋体" w:hAnsi="宋体" w:eastAsia="宋体" w:cs="宋体"/>
                          <w:lang w:val="en-US" w:eastAsia="zh-CN"/>
                        </w:rPr>
                        <w:t>7</w:t>
                      </w:r>
                      <w:r>
                        <w:rPr>
                          <w:rFonts w:hint="eastAsia" w:ascii="宋体" w:hAnsi="宋体" w:eastAsia="宋体" w:cs="宋体"/>
                          <w:lang w:eastAsia="zh-CN"/>
                        </w:rPr>
                        <w:t xml:space="preserve"> 学校鸟瞰图</w:t>
                      </w:r>
                    </w:p>
                  </w:txbxContent>
                </v:textbox>
              </v:shape>
            </w:pict>
          </mc:Fallback>
        </mc:AlternateContent>
      </w:r>
      <w:r>
        <w:rPr>
          <w:highlight w:val="none"/>
          <w:lang w:eastAsia="zh-CN"/>
        </w:rPr>
        <mc:AlternateContent>
          <mc:Choice Requires="wps">
            <w:drawing>
              <wp:anchor distT="0" distB="0" distL="114300" distR="114300" simplePos="0" relativeHeight="251660288" behindDoc="0" locked="0" layoutInCell="1" allowOverlap="1">
                <wp:simplePos x="0" y="0"/>
                <wp:positionH relativeFrom="column">
                  <wp:posOffset>-15875</wp:posOffset>
                </wp:positionH>
                <wp:positionV relativeFrom="paragraph">
                  <wp:posOffset>8255</wp:posOffset>
                </wp:positionV>
                <wp:extent cx="2800350" cy="266700"/>
                <wp:effectExtent l="0" t="0" r="0" b="0"/>
                <wp:wrapNone/>
                <wp:docPr id="12" name="文本框 12"/>
                <wp:cNvGraphicFramePr/>
                <a:graphic xmlns:a="http://schemas.openxmlformats.org/drawingml/2006/main">
                  <a:graphicData uri="http://schemas.microsoft.com/office/word/2010/wordprocessingShape">
                    <wps:wsp>
                      <wps:cNvSpPr txBox="1"/>
                      <wps:spPr>
                        <a:xfrm>
                          <a:off x="992505" y="8073390"/>
                          <a:ext cx="2800350" cy="2667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2C57CD6">
                            <w:pPr>
                              <w:jc w:val="center"/>
                              <w:rPr>
                                <w:rFonts w:ascii="宋体" w:hAnsi="宋体" w:eastAsia="宋体" w:cs="宋体"/>
                                <w:lang w:eastAsia="zh-CN"/>
                              </w:rPr>
                            </w:pPr>
                            <w:r>
                              <w:rPr>
                                <w:rFonts w:hint="eastAsia" w:ascii="宋体" w:hAnsi="宋体" w:eastAsia="宋体" w:cs="宋体"/>
                                <w:lang w:eastAsia="zh-CN"/>
                              </w:rPr>
                              <w:t>图2-</w:t>
                            </w:r>
                            <w:r>
                              <w:rPr>
                                <w:rFonts w:hint="eastAsia" w:ascii="宋体" w:hAnsi="宋体" w:eastAsia="宋体" w:cs="宋体"/>
                                <w:lang w:val="en-US" w:eastAsia="zh-CN"/>
                              </w:rPr>
                              <w:t>6</w:t>
                            </w:r>
                            <w:r>
                              <w:rPr>
                                <w:rFonts w:hint="eastAsia" w:ascii="宋体" w:hAnsi="宋体" w:eastAsia="宋体" w:cs="宋体"/>
                                <w:lang w:eastAsia="zh-CN"/>
                              </w:rPr>
                              <w:t xml:space="preserve"> 天行健体育广场</w:t>
                            </w:r>
                          </w:p>
                          <w:p w14:paraId="0C735540">
                            <w:pPr>
                              <w:jc w:val="center"/>
                              <w:rPr>
                                <w:rFonts w:ascii="宋体" w:hAnsi="宋体" w:eastAsia="宋体" w:cs="宋体"/>
                                <w:lang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5pt;margin-top:0.65pt;height:21pt;width:220.5pt;z-index:251660288;mso-width-relative:page;mso-height-relative:page;" fillcolor="#FFFFFF [3201]" filled="t" stroked="f" coordsize="21600,21600" o:gfxdata="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MuAbgjSAAAA&#10;BwEAAA8AAAAAAAAAAQAgAAAAIgAAAGRycy9kb3ducmV2LnhtbFBLAQIUABQAAAAIAIdO4kB5uh9r&#10;XAIAAJwEAAAOAAAAAAAAAAEAIAAAACEBAABkcnMvZTJvRG9jLnhtbFBLBQYAAAAABgAGAFkBAADv&#10;BQAAAAA=&#10;">
                <v:fill on="t" focussize="0,0"/>
                <v:stroke on="f" weight="0.5pt"/>
                <v:imagedata o:title=""/>
                <o:lock v:ext="edit" aspectratio="f"/>
                <v:textbox>
                  <w:txbxContent>
                    <w:p w14:paraId="52C57CD6">
                      <w:pPr>
                        <w:jc w:val="center"/>
                        <w:rPr>
                          <w:rFonts w:ascii="宋体" w:hAnsi="宋体" w:eastAsia="宋体" w:cs="宋体"/>
                          <w:lang w:eastAsia="zh-CN"/>
                        </w:rPr>
                      </w:pPr>
                      <w:r>
                        <w:rPr>
                          <w:rFonts w:hint="eastAsia" w:ascii="宋体" w:hAnsi="宋体" w:eastAsia="宋体" w:cs="宋体"/>
                          <w:lang w:eastAsia="zh-CN"/>
                        </w:rPr>
                        <w:t>图2-</w:t>
                      </w:r>
                      <w:r>
                        <w:rPr>
                          <w:rFonts w:hint="eastAsia" w:ascii="宋体" w:hAnsi="宋体" w:eastAsia="宋体" w:cs="宋体"/>
                          <w:lang w:val="en-US" w:eastAsia="zh-CN"/>
                        </w:rPr>
                        <w:t>6</w:t>
                      </w:r>
                      <w:r>
                        <w:rPr>
                          <w:rFonts w:hint="eastAsia" w:ascii="宋体" w:hAnsi="宋体" w:eastAsia="宋体" w:cs="宋体"/>
                          <w:lang w:eastAsia="zh-CN"/>
                        </w:rPr>
                        <w:t xml:space="preserve"> 天行健体育广场</w:t>
                      </w:r>
                    </w:p>
                    <w:p w14:paraId="0C735540">
                      <w:pPr>
                        <w:jc w:val="center"/>
                        <w:rPr>
                          <w:rFonts w:ascii="宋体" w:hAnsi="宋体" w:eastAsia="宋体" w:cs="宋体"/>
                          <w:lang w:eastAsia="zh-CN"/>
                        </w:rPr>
                      </w:pPr>
                    </w:p>
                  </w:txbxContent>
                </v:textbox>
              </v:shape>
            </w:pict>
          </mc:Fallback>
        </mc:AlternateContent>
      </w:r>
    </w:p>
    <w:p w14:paraId="52136D04">
      <w:pPr>
        <w:adjustRightInd/>
        <w:snapToGrid/>
        <w:spacing w:before="120" w:beforeLines="50" w:after="120" w:afterLines="50"/>
        <w:jc w:val="both"/>
        <w:outlineLvl w:val="1"/>
        <w:rPr>
          <w:rFonts w:hint="default" w:ascii="黑体" w:hAnsi="黑体" w:eastAsia="黑体" w:cs="黑体"/>
          <w:sz w:val="28"/>
          <w:szCs w:val="28"/>
          <w:highlight w:val="none"/>
          <w:lang w:val="en-US" w:eastAsia="zh-CN"/>
        </w:rPr>
      </w:pPr>
      <w:bookmarkStart w:id="27" w:name="_Toc10548"/>
      <w:r>
        <w:rPr>
          <w:rFonts w:hint="eastAsia" w:ascii="黑体" w:hAnsi="黑体" w:eastAsia="黑体" w:cs="黑体"/>
          <w:sz w:val="28"/>
          <w:szCs w:val="28"/>
          <w:highlight w:val="none"/>
          <w:lang w:val="en-US" w:eastAsia="zh-CN"/>
        </w:rPr>
        <w:t>六、教学设备及其应用情况</w:t>
      </w:r>
      <w:bookmarkEnd w:id="27"/>
    </w:p>
    <w:p w14:paraId="47FCFEFD">
      <w:pPr>
        <w:spacing w:line="400" w:lineRule="exact"/>
        <w:ind w:firstLine="480" w:firstLineChars="200"/>
        <w:jc w:val="both"/>
        <w:rPr>
          <w:rFonts w:ascii="宋体" w:hAnsi="宋体" w:eastAsia="宋体" w:cs="宋体"/>
          <w:spacing w:val="-2"/>
          <w:sz w:val="24"/>
          <w:szCs w:val="24"/>
          <w:highlight w:val="none"/>
          <w:lang w:eastAsia="zh-CN"/>
        </w:rPr>
      </w:pPr>
      <w:r>
        <w:rPr>
          <w:rFonts w:hint="eastAsia" w:ascii="宋体" w:hAnsi="宋体" w:eastAsia="宋体" w:cs="宋体"/>
          <w:sz w:val="24"/>
          <w:szCs w:val="24"/>
          <w:highlight w:val="none"/>
          <w:lang w:eastAsia="zh-CN"/>
        </w:rPr>
        <w:t>教学科研仪器设备达标。现有教学科研仪器设备总值</w:t>
      </w:r>
      <w:r>
        <w:rPr>
          <w:rFonts w:hint="eastAsia" w:ascii="宋体" w:hAnsi="宋体" w:eastAsia="宋体" w:cs="宋体"/>
          <w:b w:val="0"/>
          <w:bCs/>
          <w:sz w:val="24"/>
          <w:szCs w:val="24"/>
          <w:highlight w:val="none"/>
          <w:lang w:eastAsia="zh-CN"/>
        </w:rPr>
        <w:t>13639.25</w:t>
      </w:r>
      <w:r>
        <w:rPr>
          <w:rFonts w:hint="eastAsia" w:ascii="宋体" w:hAnsi="宋体" w:eastAsia="宋体" w:cs="宋体"/>
          <w:sz w:val="24"/>
          <w:szCs w:val="24"/>
          <w:highlight w:val="none"/>
          <w:lang w:eastAsia="zh-CN"/>
        </w:rPr>
        <w:t>万元，生均</w:t>
      </w:r>
      <w:r>
        <w:rPr>
          <w:rFonts w:hint="eastAsia" w:ascii="宋体" w:hAnsi="宋体" w:eastAsia="宋体" w:cs="宋体"/>
          <w:b w:val="0"/>
          <w:bCs/>
          <w:sz w:val="24"/>
          <w:szCs w:val="24"/>
          <w:highlight w:val="none"/>
          <w:lang w:val="en-US" w:eastAsia="zh-CN"/>
        </w:rPr>
        <w:t>8920.37</w:t>
      </w:r>
      <w:r>
        <w:rPr>
          <w:rFonts w:hint="eastAsia" w:ascii="宋体" w:hAnsi="宋体" w:eastAsia="宋体" w:cs="宋体"/>
          <w:sz w:val="24"/>
          <w:szCs w:val="24"/>
          <w:highlight w:val="none"/>
          <w:lang w:eastAsia="zh-CN"/>
        </w:rPr>
        <w:t>元，</w:t>
      </w:r>
      <w:r>
        <w:rPr>
          <w:rFonts w:hint="eastAsia" w:ascii="宋体" w:hAnsi="宋体" w:eastAsia="宋体" w:cs="宋体"/>
          <w:sz w:val="24"/>
          <w:szCs w:val="24"/>
          <w:highlight w:val="none"/>
          <w:lang w:val="en-US" w:eastAsia="zh-CN"/>
        </w:rPr>
        <w:t>2024-2025学年</w:t>
      </w:r>
      <w:r>
        <w:rPr>
          <w:rFonts w:hint="eastAsia" w:ascii="宋体" w:hAnsi="宋体" w:eastAsia="宋体" w:cs="宋体"/>
          <w:sz w:val="24"/>
          <w:szCs w:val="24"/>
          <w:highlight w:val="none"/>
          <w:lang w:eastAsia="zh-CN"/>
        </w:rPr>
        <w:t>教学科研仪</w:t>
      </w:r>
      <w:r>
        <w:rPr>
          <w:rFonts w:ascii="宋体" w:hAnsi="宋体" w:eastAsia="宋体" w:cs="宋体"/>
          <w:sz w:val="24"/>
          <w:szCs w:val="24"/>
          <w:highlight w:val="none"/>
          <w:lang w:eastAsia="zh-CN"/>
        </w:rPr>
        <w:t>器设备</w:t>
      </w:r>
      <w:r>
        <w:rPr>
          <w:rFonts w:ascii="宋体" w:hAnsi="宋体" w:eastAsia="宋体" w:cs="宋体"/>
          <w:color w:val="auto"/>
          <w:sz w:val="24"/>
          <w:szCs w:val="24"/>
          <w:highlight w:val="none"/>
          <w:lang w:eastAsia="zh-CN"/>
        </w:rPr>
        <w:t>新增</w:t>
      </w:r>
      <w:r>
        <w:rPr>
          <w:rFonts w:hint="eastAsia" w:ascii="宋体" w:hAnsi="宋体" w:eastAsia="宋体" w:cs="宋体"/>
          <w:color w:val="auto"/>
          <w:sz w:val="24"/>
          <w:szCs w:val="24"/>
          <w:highlight w:val="none"/>
          <w:lang w:eastAsia="zh-CN"/>
        </w:rPr>
        <w:t>值为</w:t>
      </w:r>
      <w:r>
        <w:rPr>
          <w:rFonts w:hint="eastAsia" w:ascii="宋体" w:hAnsi="宋体" w:eastAsia="宋体" w:cs="宋体"/>
          <w:color w:val="auto"/>
          <w:sz w:val="24"/>
          <w:szCs w:val="24"/>
          <w:highlight w:val="none"/>
          <w:lang w:val="en-US" w:eastAsia="zh-CN"/>
        </w:rPr>
        <w:t>1388.07</w:t>
      </w:r>
      <w:r>
        <w:rPr>
          <w:rFonts w:hint="eastAsia" w:ascii="宋体" w:hAnsi="宋体" w:eastAsia="宋体" w:cs="宋体"/>
          <w:color w:val="auto"/>
          <w:sz w:val="24"/>
          <w:szCs w:val="24"/>
          <w:highlight w:val="none"/>
          <w:lang w:eastAsia="zh-CN"/>
        </w:rPr>
        <w:t>万元</w:t>
      </w:r>
      <w:r>
        <w:rPr>
          <w:rFonts w:hint="eastAsia" w:ascii="宋体" w:hAnsi="宋体" w:eastAsia="宋体" w:cs="宋体"/>
          <w:sz w:val="24"/>
          <w:szCs w:val="24"/>
          <w:highlight w:val="none"/>
          <w:lang w:eastAsia="zh-CN"/>
        </w:rPr>
        <w:t>，新增值达到教学科研仪器设备总值的11.33%，</w:t>
      </w:r>
      <w:r>
        <w:rPr>
          <w:rFonts w:ascii="宋体" w:hAnsi="宋体" w:eastAsia="宋体" w:cs="宋体"/>
          <w:sz w:val="24"/>
          <w:szCs w:val="24"/>
          <w:highlight w:val="none"/>
          <w:lang w:eastAsia="zh-CN"/>
        </w:rPr>
        <w:t>达到国家办学条件要求</w:t>
      </w:r>
      <w:r>
        <w:rPr>
          <w:rFonts w:ascii="宋体" w:hAnsi="宋体" w:eastAsia="宋体" w:cs="宋体"/>
          <w:spacing w:val="-2"/>
          <w:sz w:val="24"/>
          <w:szCs w:val="24"/>
          <w:highlight w:val="none"/>
          <w:lang w:eastAsia="zh-CN"/>
        </w:rPr>
        <w:t>。</w:t>
      </w:r>
      <w:r>
        <w:rPr>
          <w:rFonts w:hint="eastAsia" w:ascii="宋体" w:hAnsi="宋体" w:eastAsia="宋体" w:cs="宋体"/>
          <w:sz w:val="24"/>
          <w:szCs w:val="24"/>
          <w:highlight w:val="none"/>
          <w:lang w:eastAsia="zh-CN"/>
        </w:rPr>
        <w:t>部分实验室教科研仪器设备情况见图2-6</w:t>
      </w:r>
      <w:r>
        <w:rPr>
          <w:rFonts w:ascii="宋体" w:hAnsi="宋体" w:eastAsia="宋体" w:cs="宋体"/>
          <w:sz w:val="24"/>
          <w:szCs w:val="24"/>
          <w:highlight w:val="none"/>
          <w:lang w:eastAsia="zh-CN"/>
        </w:rPr>
        <w:t>。</w:t>
      </w:r>
    </w:p>
    <w:p w14:paraId="7C6AD28E">
      <w:pPr>
        <w:spacing w:line="400" w:lineRule="exact"/>
        <w:ind w:firstLine="480" w:firstLineChars="200"/>
        <w:jc w:val="both"/>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本科教学实验仪器设备8616台（套），合计总值0.905亿元，其中单价10万元以上的实验仪器设备117台（套），总值2794.57万元，按本科在校生8149人计算，本科生均实验仪器设备值11105.02元。</w:t>
      </w:r>
    </w:p>
    <w:p w14:paraId="10662208">
      <w:pPr>
        <w:spacing w:before="142"/>
        <w:ind w:left="28"/>
        <w:rPr>
          <w:rFonts w:ascii="黑体" w:hAnsi="黑体" w:eastAsia="黑体" w:cs="黑体"/>
          <w:spacing w:val="-4"/>
          <w:sz w:val="28"/>
          <w:szCs w:val="28"/>
          <w:highlight w:val="none"/>
          <w:lang w:eastAsia="zh-CN"/>
        </w:rPr>
      </w:pPr>
      <w:r>
        <w:rPr>
          <w:rFonts w:hint="eastAsia" w:ascii="黑体" w:hAnsi="黑体" w:eastAsia="黑体" w:cs="黑体"/>
          <w:spacing w:val="-4"/>
          <w:sz w:val="28"/>
          <w:szCs w:val="28"/>
          <w:highlight w:val="none"/>
          <w:lang w:eastAsia="zh-CN"/>
        </w:rPr>
        <w:drawing>
          <wp:inline distT="0" distB="0" distL="114300" distR="114300">
            <wp:extent cx="2775585" cy="1920875"/>
            <wp:effectExtent l="0" t="0" r="5715" b="3175"/>
            <wp:docPr id="2" name="图片 2" descr="GUO_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GUO_8921"/>
                    <pic:cNvPicPr>
                      <a:picLocks noChangeAspect="1"/>
                    </pic:cNvPicPr>
                  </pic:nvPicPr>
                  <pic:blipFill>
                    <a:blip r:embed="rId20"/>
                    <a:stretch>
                      <a:fillRect/>
                    </a:stretch>
                  </pic:blipFill>
                  <pic:spPr>
                    <a:xfrm>
                      <a:off x="0" y="0"/>
                      <a:ext cx="2775585" cy="1920875"/>
                    </a:xfrm>
                    <a:prstGeom prst="rect">
                      <a:avLst/>
                    </a:prstGeom>
                  </pic:spPr>
                </pic:pic>
              </a:graphicData>
            </a:graphic>
          </wp:inline>
        </w:drawing>
      </w:r>
      <w:r>
        <w:rPr>
          <w:rFonts w:ascii="黑体" w:hAnsi="黑体" w:eastAsia="黑体" w:cs="黑体"/>
          <w:spacing w:val="-4"/>
          <w:sz w:val="28"/>
          <w:szCs w:val="28"/>
          <w:highlight w:val="none"/>
          <w:lang w:eastAsia="zh-CN"/>
        </w:rPr>
        <w:drawing>
          <wp:inline distT="0" distB="0" distL="114300" distR="114300">
            <wp:extent cx="2797175" cy="1927225"/>
            <wp:effectExtent l="0" t="0" r="3175" b="15875"/>
            <wp:docPr id="34" name="图片 34" descr="58aa7942bdd23305de26c0af7ed5f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58aa7942bdd23305de26c0af7ed5f92"/>
                    <pic:cNvPicPr>
                      <a:picLocks noChangeAspect="1"/>
                    </pic:cNvPicPr>
                  </pic:nvPicPr>
                  <pic:blipFill>
                    <a:blip r:embed="rId21"/>
                    <a:stretch>
                      <a:fillRect/>
                    </a:stretch>
                  </pic:blipFill>
                  <pic:spPr>
                    <a:xfrm>
                      <a:off x="0" y="0"/>
                      <a:ext cx="2797175" cy="1927225"/>
                    </a:xfrm>
                    <a:prstGeom prst="rect">
                      <a:avLst/>
                    </a:prstGeom>
                  </pic:spPr>
                </pic:pic>
              </a:graphicData>
            </a:graphic>
          </wp:inline>
        </w:drawing>
      </w:r>
    </w:p>
    <w:p w14:paraId="684B8F2F">
      <w:pPr>
        <w:spacing w:before="142"/>
        <w:ind w:left="28"/>
        <w:rPr>
          <w:rFonts w:ascii="黑体" w:hAnsi="黑体" w:eastAsia="黑体" w:cs="黑体"/>
          <w:spacing w:val="-4"/>
          <w:sz w:val="28"/>
          <w:szCs w:val="28"/>
          <w:highlight w:val="none"/>
          <w:lang w:eastAsia="zh-CN"/>
        </w:rPr>
      </w:pPr>
      <w:r>
        <w:rPr>
          <w:sz w:val="28"/>
          <w:highlight w:val="none"/>
          <w:lang w:eastAsia="zh-CN"/>
        </w:rPr>
        <mc:AlternateContent>
          <mc:Choice Requires="wps">
            <w:drawing>
              <wp:anchor distT="0" distB="0" distL="114300" distR="114300" simplePos="0" relativeHeight="251662336" behindDoc="0" locked="0" layoutInCell="1" allowOverlap="1">
                <wp:simplePos x="0" y="0"/>
                <wp:positionH relativeFrom="column">
                  <wp:posOffset>10160</wp:posOffset>
                </wp:positionH>
                <wp:positionV relativeFrom="paragraph">
                  <wp:posOffset>76835</wp:posOffset>
                </wp:positionV>
                <wp:extent cx="5543550" cy="266065"/>
                <wp:effectExtent l="0" t="0" r="0" b="635"/>
                <wp:wrapNone/>
                <wp:docPr id="4" name="文本框 4"/>
                <wp:cNvGraphicFramePr/>
                <a:graphic xmlns:a="http://schemas.openxmlformats.org/drawingml/2006/main">
                  <a:graphicData uri="http://schemas.microsoft.com/office/word/2010/wordprocessingShape">
                    <wps:wsp>
                      <wps:cNvSpPr txBox="1"/>
                      <wps:spPr>
                        <a:xfrm>
                          <a:off x="1020445" y="4293235"/>
                          <a:ext cx="5543550" cy="2660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A2564DA">
                            <w:pPr>
                              <w:jc w:val="center"/>
                              <w:rPr>
                                <w:rFonts w:ascii="宋体" w:hAnsi="宋体" w:eastAsia="宋体" w:cs="宋体"/>
                                <w:color w:val="auto"/>
                                <w:lang w:eastAsia="zh-CN"/>
                              </w:rPr>
                            </w:pPr>
                            <w:r>
                              <w:rPr>
                                <w:rFonts w:hint="eastAsia" w:ascii="宋体" w:hAnsi="宋体" w:eastAsia="宋体" w:cs="宋体"/>
                                <w:color w:val="auto"/>
                                <w:lang w:eastAsia="zh-CN"/>
                              </w:rPr>
                              <w:t>图2-</w:t>
                            </w:r>
                            <w:r>
                              <w:rPr>
                                <w:rFonts w:hint="eastAsia" w:ascii="宋体" w:hAnsi="宋体" w:eastAsia="宋体" w:cs="宋体"/>
                                <w:color w:val="auto"/>
                                <w:lang w:val="en-US" w:eastAsia="zh-CN"/>
                              </w:rPr>
                              <w:t>8</w:t>
                            </w:r>
                            <w:r>
                              <w:rPr>
                                <w:rFonts w:hint="eastAsia" w:ascii="宋体" w:hAnsi="宋体" w:eastAsia="宋体" w:cs="宋体"/>
                                <w:color w:val="auto"/>
                                <w:lang w:eastAsia="zh-CN"/>
                              </w:rPr>
                              <w:t xml:space="preserve"> 实验室教科研仪器设备</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8pt;margin-top:6.05pt;height:20.95pt;width:436.5pt;z-index:251662336;mso-width-relative:page;mso-height-relative:page;" fillcolor="#FFFFFF [3201]" filled="t" stroked="f" coordsize="21600,21600" o:gfxdata="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CbGOKfSAAAA&#10;BwEAAA8AAAAAAAAAAQAgAAAAIgAAAGRycy9kb3ducmV2LnhtbFBLAQIUABQAAAAIAIdO4kACqN6R&#10;XAIAAJsEAAAOAAAAAAAAAAEAIAAAACEBAABkcnMvZTJvRG9jLnhtbFBLBQYAAAAABgAGAFkBAADv&#10;BQAAAAA=&#10;">
                <v:fill on="t" focussize="0,0"/>
                <v:stroke on="f" weight="0.5pt"/>
                <v:imagedata o:title=""/>
                <o:lock v:ext="edit" aspectratio="f"/>
                <v:textbox>
                  <w:txbxContent>
                    <w:p w14:paraId="7A2564DA">
                      <w:pPr>
                        <w:jc w:val="center"/>
                        <w:rPr>
                          <w:rFonts w:ascii="宋体" w:hAnsi="宋体" w:eastAsia="宋体" w:cs="宋体"/>
                          <w:color w:val="auto"/>
                          <w:lang w:eastAsia="zh-CN"/>
                        </w:rPr>
                      </w:pPr>
                      <w:r>
                        <w:rPr>
                          <w:rFonts w:hint="eastAsia" w:ascii="宋体" w:hAnsi="宋体" w:eastAsia="宋体" w:cs="宋体"/>
                          <w:color w:val="auto"/>
                          <w:lang w:eastAsia="zh-CN"/>
                        </w:rPr>
                        <w:t>图2-</w:t>
                      </w:r>
                      <w:r>
                        <w:rPr>
                          <w:rFonts w:hint="eastAsia" w:ascii="宋体" w:hAnsi="宋体" w:eastAsia="宋体" w:cs="宋体"/>
                          <w:color w:val="auto"/>
                          <w:lang w:val="en-US" w:eastAsia="zh-CN"/>
                        </w:rPr>
                        <w:t>8</w:t>
                      </w:r>
                      <w:r>
                        <w:rPr>
                          <w:rFonts w:hint="eastAsia" w:ascii="宋体" w:hAnsi="宋体" w:eastAsia="宋体" w:cs="宋体"/>
                          <w:color w:val="auto"/>
                          <w:lang w:eastAsia="zh-CN"/>
                        </w:rPr>
                        <w:t xml:space="preserve"> 实验室教科研仪器设备</w:t>
                      </w:r>
                    </w:p>
                  </w:txbxContent>
                </v:textbox>
              </v:shape>
            </w:pict>
          </mc:Fallback>
        </mc:AlternateContent>
      </w:r>
    </w:p>
    <w:p w14:paraId="2ED794D9">
      <w:pPr>
        <w:adjustRightInd/>
        <w:snapToGrid/>
        <w:spacing w:before="120" w:beforeLines="50" w:after="120" w:afterLines="50"/>
        <w:jc w:val="both"/>
        <w:outlineLvl w:val="1"/>
        <w:rPr>
          <w:rFonts w:hint="eastAsia" w:ascii="黑体" w:hAnsi="黑体" w:eastAsia="黑体" w:cs="黑体"/>
          <w:sz w:val="28"/>
          <w:szCs w:val="28"/>
          <w:highlight w:val="none"/>
          <w:lang w:val="en-US" w:eastAsia="zh-CN"/>
        </w:rPr>
      </w:pPr>
      <w:bookmarkStart w:id="28" w:name="_Toc26944"/>
      <w:r>
        <w:rPr>
          <w:rFonts w:hint="eastAsia" w:ascii="黑体" w:hAnsi="黑体" w:eastAsia="黑体" w:cs="黑体"/>
          <w:sz w:val="28"/>
          <w:szCs w:val="28"/>
          <w:highlight w:val="none"/>
          <w:lang w:val="en-US" w:eastAsia="zh-CN"/>
        </w:rPr>
        <w:t>七、图书及应用情况</w:t>
      </w:r>
      <w:bookmarkEnd w:id="28"/>
    </w:p>
    <w:p w14:paraId="57C2A0D7">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2023年底我校新图书馆投入使用，建筑面积3.68万平方米，配置阅览座位6016个，现有纸质图书馆藏总量18</w:t>
      </w:r>
      <w:r>
        <w:rPr>
          <w:rFonts w:hint="eastAsia" w:ascii="宋体" w:hAnsi="宋体" w:eastAsia="宋体" w:cs="宋体"/>
          <w:color w:val="auto"/>
          <w:sz w:val="24"/>
          <w:szCs w:val="24"/>
          <w:highlight w:val="none"/>
          <w:lang w:val="en-US" w:eastAsia="zh-CN"/>
        </w:rPr>
        <w:t>7.7</w:t>
      </w:r>
      <w:r>
        <w:rPr>
          <w:rFonts w:hint="eastAsia" w:ascii="宋体" w:hAnsi="宋体" w:eastAsia="宋体" w:cs="宋体"/>
          <w:color w:val="auto"/>
          <w:sz w:val="24"/>
          <w:szCs w:val="24"/>
          <w:highlight w:val="none"/>
          <w:lang w:eastAsia="zh-CN"/>
        </w:rPr>
        <w:t>万册，当年新增6</w:t>
      </w:r>
      <w:r>
        <w:rPr>
          <w:rFonts w:hint="eastAsia" w:ascii="宋体" w:hAnsi="宋体" w:eastAsia="宋体" w:cs="宋体"/>
          <w:color w:val="auto"/>
          <w:sz w:val="24"/>
          <w:szCs w:val="24"/>
          <w:highlight w:val="none"/>
          <w:lang w:val="en-US" w:eastAsia="zh-CN"/>
        </w:rPr>
        <w:t>6278</w:t>
      </w:r>
      <w:r>
        <w:rPr>
          <w:rFonts w:hint="eastAsia" w:ascii="宋体" w:hAnsi="宋体" w:eastAsia="宋体" w:cs="宋体"/>
          <w:color w:val="auto"/>
          <w:sz w:val="24"/>
          <w:szCs w:val="24"/>
          <w:highlight w:val="none"/>
          <w:lang w:eastAsia="zh-CN"/>
        </w:rPr>
        <w:t>册，生均纸质图书122.76册，生均图书及年进书量达到国家要求（见表</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eastAsia="zh-CN"/>
        </w:rPr>
        <w:t>）；电子图书24万册，电子期刊14.</w:t>
      </w:r>
      <w:r>
        <w:rPr>
          <w:rFonts w:hint="eastAsia" w:ascii="宋体" w:hAnsi="宋体" w:eastAsia="宋体" w:cs="宋体"/>
          <w:color w:val="auto"/>
          <w:sz w:val="24"/>
          <w:szCs w:val="24"/>
          <w:highlight w:val="none"/>
          <w:lang w:val="en-US" w:eastAsia="zh-CN"/>
        </w:rPr>
        <w:t>63</w:t>
      </w:r>
      <w:r>
        <w:rPr>
          <w:rFonts w:hint="eastAsia" w:ascii="宋体" w:hAnsi="宋体" w:eastAsia="宋体" w:cs="宋体"/>
          <w:color w:val="auto"/>
          <w:sz w:val="24"/>
          <w:szCs w:val="24"/>
          <w:highlight w:val="none"/>
          <w:lang w:eastAsia="zh-CN"/>
        </w:rPr>
        <w:t>万册，学位论文504.</w:t>
      </w: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lang w:eastAsia="zh-CN"/>
        </w:rPr>
        <w:t>万册，音视频10600小时;拥有中国知网、万方、维普等数据库</w:t>
      </w:r>
      <w:r>
        <w:rPr>
          <w:rFonts w:hint="eastAsia" w:ascii="宋体" w:hAnsi="宋体" w:eastAsia="宋体" w:cs="宋体"/>
          <w:color w:val="auto"/>
          <w:sz w:val="24"/>
          <w:szCs w:val="24"/>
          <w:highlight w:val="none"/>
          <w:lang w:val="en-US" w:eastAsia="zh-CN"/>
        </w:rPr>
        <w:t>53</w:t>
      </w:r>
      <w:r>
        <w:rPr>
          <w:rFonts w:hint="eastAsia" w:ascii="宋体" w:hAnsi="宋体" w:eastAsia="宋体" w:cs="宋体"/>
          <w:color w:val="auto"/>
          <w:sz w:val="24"/>
          <w:szCs w:val="24"/>
          <w:highlight w:val="none"/>
          <w:lang w:eastAsia="zh-CN"/>
        </w:rPr>
        <w:t>个；现有党史党建、传统经典等特色馆藏图书3.50万册；建有汇文图书馆管理、RFID自助借还、大数据实时发布、瀑布流电子书刊借阅等十大智能系统，搭建了开放性、交互式的新一代智慧图书馆服务平台。</w:t>
      </w:r>
    </w:p>
    <w:p w14:paraId="3276706D">
      <w:pPr>
        <w:spacing w:before="142"/>
        <w:ind w:left="28"/>
        <w:jc w:val="center"/>
        <w:rPr>
          <w:rFonts w:ascii="宋体" w:hAnsi="宋体" w:eastAsia="宋体" w:cs="宋体"/>
          <w:spacing w:val="-4"/>
          <w:highlight w:val="none"/>
          <w:lang w:eastAsia="zh-CN"/>
        </w:rPr>
      </w:pPr>
      <w:r>
        <w:rPr>
          <w:rFonts w:ascii="宋体" w:hAnsi="宋体" w:eastAsia="宋体" w:cs="宋体"/>
          <w:spacing w:val="-4"/>
          <w:highlight w:val="none"/>
          <w:lang w:eastAsia="zh-CN"/>
        </w:rPr>
        <w:t>表</w:t>
      </w:r>
      <w:r>
        <w:rPr>
          <w:rFonts w:hint="eastAsia" w:ascii="宋体" w:hAnsi="宋体" w:eastAsia="宋体" w:cs="宋体"/>
          <w:spacing w:val="-4"/>
          <w:highlight w:val="none"/>
          <w:lang w:eastAsia="zh-CN"/>
        </w:rPr>
        <w:t>2-4 202</w:t>
      </w:r>
      <w:r>
        <w:rPr>
          <w:rFonts w:hint="eastAsia" w:ascii="宋体" w:hAnsi="宋体" w:eastAsia="宋体" w:cs="宋体"/>
          <w:spacing w:val="-4"/>
          <w:highlight w:val="none"/>
          <w:lang w:val="en-US" w:eastAsia="zh-CN"/>
        </w:rPr>
        <w:t>4</w:t>
      </w:r>
      <w:r>
        <w:rPr>
          <w:rFonts w:hint="eastAsia" w:ascii="宋体" w:hAnsi="宋体" w:eastAsia="宋体" w:cs="宋体"/>
          <w:spacing w:val="-4"/>
          <w:highlight w:val="none"/>
          <w:lang w:eastAsia="zh-CN"/>
        </w:rPr>
        <w:t>-202</w:t>
      </w:r>
      <w:r>
        <w:rPr>
          <w:rFonts w:hint="eastAsia" w:ascii="宋体" w:hAnsi="宋体" w:eastAsia="宋体" w:cs="宋体"/>
          <w:spacing w:val="-4"/>
          <w:highlight w:val="none"/>
          <w:lang w:val="en-US" w:eastAsia="zh-CN"/>
        </w:rPr>
        <w:t>5</w:t>
      </w:r>
      <w:r>
        <w:rPr>
          <w:rFonts w:hint="eastAsia" w:ascii="宋体" w:hAnsi="宋体" w:eastAsia="宋体" w:cs="宋体"/>
          <w:spacing w:val="-4"/>
          <w:highlight w:val="none"/>
          <w:lang w:eastAsia="zh-CN"/>
        </w:rPr>
        <w:t>学年纸质图书总数及生均年进书量</w:t>
      </w: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2"/>
        <w:gridCol w:w="1957"/>
        <w:gridCol w:w="1792"/>
        <w:gridCol w:w="1765"/>
        <w:gridCol w:w="1770"/>
      </w:tblGrid>
      <w:tr w14:paraId="588F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pct"/>
            <w:vMerge w:val="restart"/>
            <w:vAlign w:val="center"/>
          </w:tcPr>
          <w:p w14:paraId="4E22ED4A">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年度</w:t>
            </w:r>
          </w:p>
        </w:tc>
        <w:tc>
          <w:tcPr>
            <w:tcW w:w="1080" w:type="pct"/>
            <w:vMerge w:val="restart"/>
            <w:vAlign w:val="center"/>
          </w:tcPr>
          <w:p w14:paraId="03A208AB">
            <w:pPr>
              <w:widowControl/>
              <w:spacing w:before="142"/>
              <w:ind w:left="28"/>
              <w:jc w:val="center"/>
              <w:rPr>
                <w:rFonts w:hint="default" w:ascii="宋体" w:hAnsi="宋体" w:eastAsia="宋体" w:cs="宋体"/>
                <w:b/>
                <w:bCs/>
                <w:spacing w:val="-4"/>
                <w:highlight w:val="none"/>
                <w:lang w:val="en-US" w:eastAsia="zh-CN"/>
              </w:rPr>
            </w:pPr>
            <w:r>
              <w:rPr>
                <w:rFonts w:ascii="宋体" w:hAnsi="宋体" w:eastAsia="宋体" w:cs="宋体"/>
                <w:b/>
                <w:bCs/>
                <w:spacing w:val="-4"/>
                <w:highlight w:val="none"/>
                <w:lang w:eastAsia="zh-CN"/>
              </w:rPr>
              <w:t>图书</w:t>
            </w:r>
            <w:r>
              <w:rPr>
                <w:rFonts w:hint="eastAsia" w:ascii="宋体" w:hAnsi="宋体" w:eastAsia="宋体" w:cs="宋体"/>
                <w:b/>
                <w:bCs/>
                <w:spacing w:val="-4"/>
                <w:highlight w:val="none"/>
                <w:lang w:val="en-US" w:eastAsia="zh-CN"/>
              </w:rPr>
              <w:t>总数</w:t>
            </w:r>
          </w:p>
          <w:p w14:paraId="08F08C63">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w:t>
            </w:r>
            <w:r>
              <w:rPr>
                <w:rFonts w:hint="eastAsia" w:ascii="宋体" w:hAnsi="宋体" w:eastAsia="宋体" w:cs="宋体"/>
                <w:b/>
                <w:bCs/>
                <w:spacing w:val="-4"/>
                <w:highlight w:val="none"/>
                <w:lang w:val="en-US" w:eastAsia="zh-CN"/>
              </w:rPr>
              <w:t>万</w:t>
            </w:r>
            <w:r>
              <w:rPr>
                <w:rFonts w:ascii="宋体" w:hAnsi="宋体" w:eastAsia="宋体" w:cs="宋体"/>
                <w:b/>
                <w:bCs/>
                <w:spacing w:val="-4"/>
                <w:highlight w:val="none"/>
                <w:lang w:eastAsia="zh-CN"/>
              </w:rPr>
              <w:t>册）</w:t>
            </w:r>
          </w:p>
        </w:tc>
        <w:tc>
          <w:tcPr>
            <w:tcW w:w="989" w:type="pct"/>
            <w:vMerge w:val="restart"/>
            <w:vAlign w:val="center"/>
          </w:tcPr>
          <w:p w14:paraId="20AA47D9">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生均</w:t>
            </w:r>
            <w:r>
              <w:rPr>
                <w:rFonts w:hint="eastAsia" w:ascii="宋体" w:hAnsi="宋体" w:eastAsia="宋体" w:cs="宋体"/>
                <w:b/>
                <w:bCs/>
                <w:spacing w:val="-4"/>
                <w:highlight w:val="none"/>
                <w:lang w:val="en-US" w:eastAsia="zh-CN"/>
              </w:rPr>
              <w:t>藏书量</w:t>
            </w:r>
          </w:p>
          <w:p w14:paraId="4A8BE7BE">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（册）</w:t>
            </w:r>
          </w:p>
        </w:tc>
        <w:tc>
          <w:tcPr>
            <w:tcW w:w="1951" w:type="pct"/>
            <w:gridSpan w:val="2"/>
            <w:vAlign w:val="center"/>
          </w:tcPr>
          <w:p w14:paraId="57609D5F">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生均年进书量</w:t>
            </w:r>
          </w:p>
        </w:tc>
      </w:tr>
      <w:tr w14:paraId="38493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8" w:type="pct"/>
            <w:vMerge w:val="continue"/>
            <w:vAlign w:val="center"/>
          </w:tcPr>
          <w:p w14:paraId="4C4E72FC">
            <w:pPr>
              <w:widowControl/>
              <w:spacing w:before="142"/>
              <w:ind w:left="28"/>
              <w:jc w:val="center"/>
              <w:rPr>
                <w:rFonts w:ascii="宋体" w:hAnsi="宋体" w:eastAsia="宋体" w:cs="宋体"/>
                <w:b/>
                <w:bCs/>
                <w:spacing w:val="-4"/>
                <w:highlight w:val="none"/>
                <w:lang w:eastAsia="zh-CN"/>
              </w:rPr>
            </w:pPr>
          </w:p>
        </w:tc>
        <w:tc>
          <w:tcPr>
            <w:tcW w:w="1080" w:type="pct"/>
            <w:vMerge w:val="continue"/>
            <w:vAlign w:val="center"/>
          </w:tcPr>
          <w:p w14:paraId="3F212722">
            <w:pPr>
              <w:widowControl/>
              <w:spacing w:before="142"/>
              <w:ind w:left="28"/>
              <w:jc w:val="center"/>
              <w:rPr>
                <w:rFonts w:ascii="宋体" w:hAnsi="宋体" w:eastAsia="宋体" w:cs="宋体"/>
                <w:b/>
                <w:bCs/>
                <w:spacing w:val="-4"/>
                <w:highlight w:val="none"/>
                <w:lang w:eastAsia="zh-CN"/>
              </w:rPr>
            </w:pPr>
          </w:p>
        </w:tc>
        <w:tc>
          <w:tcPr>
            <w:tcW w:w="989" w:type="pct"/>
            <w:vMerge w:val="continue"/>
            <w:vAlign w:val="center"/>
          </w:tcPr>
          <w:p w14:paraId="20A40EB5">
            <w:pPr>
              <w:widowControl/>
              <w:spacing w:before="142"/>
              <w:ind w:left="28"/>
              <w:jc w:val="center"/>
              <w:rPr>
                <w:rFonts w:ascii="宋体" w:hAnsi="宋体" w:eastAsia="宋体" w:cs="宋体"/>
                <w:b/>
                <w:bCs/>
                <w:spacing w:val="-4"/>
                <w:highlight w:val="none"/>
                <w:lang w:eastAsia="zh-CN"/>
              </w:rPr>
            </w:pPr>
          </w:p>
        </w:tc>
        <w:tc>
          <w:tcPr>
            <w:tcW w:w="974" w:type="pct"/>
            <w:vAlign w:val="center"/>
          </w:tcPr>
          <w:p w14:paraId="1FA0C59E">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新增（册）</w:t>
            </w:r>
          </w:p>
        </w:tc>
        <w:tc>
          <w:tcPr>
            <w:tcW w:w="977" w:type="pct"/>
            <w:vAlign w:val="center"/>
          </w:tcPr>
          <w:p w14:paraId="6228F74B">
            <w:pPr>
              <w:widowControl/>
              <w:spacing w:before="142"/>
              <w:ind w:left="28"/>
              <w:jc w:val="center"/>
              <w:rPr>
                <w:rFonts w:ascii="宋体" w:hAnsi="宋体" w:eastAsia="宋体" w:cs="宋体"/>
                <w:b/>
                <w:bCs/>
                <w:spacing w:val="-4"/>
                <w:highlight w:val="none"/>
                <w:lang w:eastAsia="zh-CN"/>
              </w:rPr>
            </w:pPr>
            <w:r>
              <w:rPr>
                <w:rFonts w:ascii="宋体" w:hAnsi="宋体" w:eastAsia="宋体" w:cs="宋体"/>
                <w:b/>
                <w:bCs/>
                <w:spacing w:val="-4"/>
                <w:highlight w:val="none"/>
                <w:lang w:eastAsia="zh-CN"/>
              </w:rPr>
              <w:t>生均（册）</w:t>
            </w:r>
          </w:p>
        </w:tc>
      </w:tr>
      <w:tr w14:paraId="6D3E9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978" w:type="pct"/>
            <w:vAlign w:val="center"/>
          </w:tcPr>
          <w:p w14:paraId="369C75DB">
            <w:pPr>
              <w:widowControl/>
              <w:spacing w:before="142"/>
              <w:ind w:left="28"/>
              <w:jc w:val="center"/>
              <w:rPr>
                <w:rFonts w:hint="default" w:ascii="宋体" w:hAnsi="宋体" w:eastAsia="宋体" w:cs="宋体"/>
                <w:spacing w:val="-4"/>
                <w:highlight w:val="none"/>
                <w:lang w:val="en-US" w:eastAsia="zh-CN"/>
              </w:rPr>
            </w:pPr>
            <w:r>
              <w:rPr>
                <w:rFonts w:ascii="宋体" w:hAnsi="宋体" w:eastAsia="宋体" w:cs="宋体"/>
                <w:spacing w:val="-4"/>
                <w:highlight w:val="none"/>
                <w:lang w:eastAsia="zh-CN"/>
              </w:rPr>
              <w:t>202</w:t>
            </w:r>
            <w:r>
              <w:rPr>
                <w:rFonts w:hint="eastAsia" w:ascii="宋体" w:hAnsi="宋体" w:eastAsia="宋体" w:cs="宋体"/>
                <w:spacing w:val="-4"/>
                <w:highlight w:val="none"/>
                <w:lang w:val="en-US" w:eastAsia="zh-CN"/>
              </w:rPr>
              <w:t>4-2025学年</w:t>
            </w:r>
          </w:p>
        </w:tc>
        <w:tc>
          <w:tcPr>
            <w:tcW w:w="1080" w:type="pct"/>
            <w:vAlign w:val="center"/>
          </w:tcPr>
          <w:p w14:paraId="6E572B3B">
            <w:pPr>
              <w:widowControl/>
              <w:spacing w:before="142"/>
              <w:ind w:left="28"/>
              <w:jc w:val="center"/>
              <w:rPr>
                <w:rFonts w:hint="default" w:ascii="宋体" w:hAnsi="宋体" w:eastAsia="宋体" w:cs="宋体"/>
                <w:spacing w:val="-4"/>
                <w:highlight w:val="none"/>
                <w:lang w:val="en-US" w:eastAsia="zh-CN"/>
              </w:rPr>
            </w:pPr>
            <w:r>
              <w:rPr>
                <w:rFonts w:hint="eastAsia" w:ascii="宋体" w:hAnsi="宋体" w:eastAsia="宋体" w:cs="宋体"/>
                <w:spacing w:val="-4"/>
                <w:highlight w:val="none"/>
                <w:lang w:eastAsia="zh-CN"/>
              </w:rPr>
              <w:t>18</w:t>
            </w:r>
            <w:r>
              <w:rPr>
                <w:rFonts w:hint="eastAsia" w:ascii="宋体" w:hAnsi="宋体" w:eastAsia="宋体" w:cs="宋体"/>
                <w:spacing w:val="-4"/>
                <w:highlight w:val="none"/>
                <w:lang w:val="en-US" w:eastAsia="zh-CN"/>
              </w:rPr>
              <w:t>7.7</w:t>
            </w:r>
          </w:p>
        </w:tc>
        <w:tc>
          <w:tcPr>
            <w:tcW w:w="989" w:type="pct"/>
            <w:vAlign w:val="center"/>
          </w:tcPr>
          <w:p w14:paraId="0056DFB3">
            <w:pPr>
              <w:widowControl/>
              <w:spacing w:before="142"/>
              <w:ind w:left="28"/>
              <w:jc w:val="center"/>
              <w:rPr>
                <w:rFonts w:hint="default" w:ascii="宋体" w:hAnsi="宋体" w:eastAsia="宋体" w:cs="宋体"/>
                <w:spacing w:val="-4"/>
                <w:highlight w:val="none"/>
                <w:lang w:val="en-US" w:eastAsia="zh-CN"/>
              </w:rPr>
            </w:pPr>
            <w:r>
              <w:rPr>
                <w:rFonts w:hint="eastAsia" w:ascii="宋体" w:hAnsi="宋体" w:eastAsia="宋体" w:cs="宋体"/>
                <w:spacing w:val="-4"/>
                <w:highlight w:val="none"/>
                <w:lang w:val="en-US" w:eastAsia="zh-CN"/>
              </w:rPr>
              <w:t>122.76</w:t>
            </w:r>
          </w:p>
        </w:tc>
        <w:tc>
          <w:tcPr>
            <w:tcW w:w="974" w:type="pct"/>
            <w:vAlign w:val="center"/>
          </w:tcPr>
          <w:p w14:paraId="42910F0E">
            <w:pPr>
              <w:widowControl/>
              <w:spacing w:before="142"/>
              <w:ind w:left="28"/>
              <w:jc w:val="center"/>
              <w:rPr>
                <w:rFonts w:hint="default" w:ascii="宋体" w:hAnsi="宋体" w:eastAsia="宋体" w:cs="宋体"/>
                <w:spacing w:val="-4"/>
                <w:highlight w:val="none"/>
                <w:lang w:val="en-US" w:eastAsia="zh-CN"/>
              </w:rPr>
            </w:pPr>
            <w:r>
              <w:rPr>
                <w:rFonts w:hint="eastAsia" w:ascii="宋体" w:hAnsi="宋体" w:eastAsia="宋体" w:cs="宋体"/>
                <w:spacing w:val="-4"/>
                <w:highlight w:val="none"/>
                <w:lang w:val="en-US" w:eastAsia="zh-CN"/>
              </w:rPr>
              <w:t>66278</w:t>
            </w:r>
          </w:p>
        </w:tc>
        <w:tc>
          <w:tcPr>
            <w:tcW w:w="977" w:type="pct"/>
            <w:vAlign w:val="center"/>
          </w:tcPr>
          <w:p w14:paraId="46F44DFF">
            <w:pPr>
              <w:widowControl/>
              <w:spacing w:before="142"/>
              <w:ind w:left="28"/>
              <w:jc w:val="center"/>
              <w:rPr>
                <w:rFonts w:hint="default" w:ascii="宋体" w:hAnsi="宋体" w:eastAsia="宋体" w:cs="宋体"/>
                <w:spacing w:val="-4"/>
                <w:highlight w:val="none"/>
                <w:lang w:val="en-US" w:eastAsia="zh-CN"/>
              </w:rPr>
            </w:pPr>
            <w:r>
              <w:rPr>
                <w:rFonts w:ascii="宋体" w:hAnsi="宋体" w:eastAsia="宋体" w:cs="宋体"/>
                <w:spacing w:val="-4"/>
                <w:highlight w:val="none"/>
                <w:lang w:eastAsia="zh-CN"/>
              </w:rPr>
              <w:t>4.</w:t>
            </w:r>
            <w:r>
              <w:rPr>
                <w:rFonts w:hint="eastAsia" w:ascii="宋体" w:hAnsi="宋体" w:eastAsia="宋体" w:cs="宋体"/>
                <w:spacing w:val="-4"/>
                <w:highlight w:val="none"/>
                <w:lang w:val="en-US" w:eastAsia="zh-CN"/>
              </w:rPr>
              <w:t>33</w:t>
            </w:r>
          </w:p>
        </w:tc>
      </w:tr>
    </w:tbl>
    <w:p w14:paraId="07C26ED3">
      <w:pPr>
        <w:spacing w:before="120" w:beforeLines="50"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图书馆秉承“读者第一、服务至上”的理念，遵从“书籍到交集”的转变，坚持以服务师生为中心，优化文献资源、学生学习、文化学术三大功能，设有5大专题阅览室，12个多元学习共享区，</w:t>
      </w:r>
      <w:r>
        <w:rPr>
          <w:rFonts w:hint="eastAsia" w:ascii="宋体" w:hAnsi="宋体" w:eastAsia="宋体" w:cs="宋体"/>
          <w:b w:val="0"/>
          <w:bCs/>
          <w:sz w:val="24"/>
          <w:szCs w:val="24"/>
          <w:highlight w:val="none"/>
          <w:lang w:val="en-US" w:eastAsia="zh-CN"/>
        </w:rPr>
        <w:t>设立考研学习专区，</w:t>
      </w:r>
      <w:r>
        <w:rPr>
          <w:rFonts w:hint="eastAsia" w:ascii="宋体" w:hAnsi="宋体" w:eastAsia="宋体" w:cs="宋体"/>
          <w:sz w:val="24"/>
          <w:szCs w:val="24"/>
          <w:highlight w:val="none"/>
          <w:lang w:eastAsia="zh-CN"/>
        </w:rPr>
        <w:t>建设了“学习、学术、文化、体验、社交”五大功能空间，努力突显学科化、主题化、智能化、自助化。为保障资源需求，建立了文献传递站，对文献需求能够做到随时监测和传递。创新建设“研学中心”，培养学生的创新意识和实践能力，致力于为学生创造一个功能丰富，具有鲜明特色的学习空间。优化借阅服务，推行“线上推荐+线下自取”模式，提升资源获取准确度和便捷度。数据显示，本年度图书流通量4.7万册，专业类图书借阅占比65%，研究性学习相关图书借阅量提升23%；数据库访问量1094263次、下载量328972次。每周开放时长105小时，年累计入馆量170.5万人次；开展信息素养教育89场次，覆盖5000余名师生，数据库培训13场次，参与师生达到3000余人；文献传递12571份。</w:t>
      </w:r>
    </w:p>
    <w:p w14:paraId="37141F14">
      <w:pPr>
        <w:spacing w:before="120" w:beforeLines="50"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文化育人为核心，将传统文化弘扬、学生品德培育与特色活动深度融合。举办“沁润传统文化，争做时代先锋”等线上课程展3场；依托“万卷共知”“研学中心”等平台，组织138期阅读分享，构建“社团+阅读+美育”育人路径，推动学生综合素质全面提升。</w:t>
      </w:r>
    </w:p>
    <w:p w14:paraId="0FEF950D">
      <w:pPr>
        <w:adjustRightInd/>
        <w:snapToGrid/>
        <w:spacing w:before="120" w:beforeLines="50" w:after="120" w:afterLines="50"/>
        <w:jc w:val="both"/>
        <w:outlineLvl w:val="1"/>
        <w:rPr>
          <w:rFonts w:hint="eastAsia" w:ascii="黑体" w:hAnsi="黑体" w:eastAsia="黑体" w:cs="黑体"/>
          <w:sz w:val="28"/>
          <w:szCs w:val="28"/>
          <w:highlight w:val="none"/>
          <w:lang w:val="en-US" w:eastAsia="zh-CN"/>
        </w:rPr>
      </w:pPr>
      <w:bookmarkStart w:id="29" w:name="_Toc12629"/>
      <w:r>
        <w:rPr>
          <w:rFonts w:hint="eastAsia" w:ascii="黑体" w:hAnsi="黑体" w:eastAsia="黑体" w:cs="黑体"/>
          <w:sz w:val="28"/>
          <w:szCs w:val="28"/>
          <w:highlight w:val="none"/>
          <w:lang w:val="en-US" w:eastAsia="zh-CN"/>
        </w:rPr>
        <w:t>八、信息资源及其应用情况</w:t>
      </w:r>
      <w:bookmarkEnd w:id="29"/>
    </w:p>
    <w:p w14:paraId="3BFDC417">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建设智慧校园，服务教育教学。学校积极推进信息化建设，建有万兆主干校园网，24G互联网出口带宽，接入CERNET网络。建有国家B级标准数据中心机房，部署超融合平台，可为全校师生提供信息服务，为教育教学提供支撑。</w:t>
      </w:r>
    </w:p>
    <w:p w14:paraId="742BAECA">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建设面积200平方米的智慧校园监控指挥中心，存储服务器70台、55寸高清大屏30台、智慧中心控制电脑5台、智慧平台管理服务器2台，部署AR智能相机、全景360度相机、人脸识别等高清相机3000台，实现校园监管全覆盖。</w:t>
      </w:r>
    </w:p>
    <w:p w14:paraId="1C62139C">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建有统一身份认证、共享数据中心、信息门户、人事管理、学生管理、教务管理、智慧教室管理、智慧图书管理、财务管理、资产管理、校园一卡通等信息系统20个，建有网上办事大厅，实现一站式服务，提高了学校教育教学管理与服务水平。</w:t>
      </w:r>
    </w:p>
    <w:p w14:paraId="76798807">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院建有面积160平方米的智慧校园展厅，是集数据展示、线上线下会议、远程指挥、现场示教为一体的多功能展厅；配有宽10.88米，高2.4米，总面积超26平方米的高清展示大屏，配合智慧校园数字孪生管理平台可直观展示学院信息化建设的基本情况，方便学院领导及时掌握全院信息化数据，实现教育教学的科学管理与决策。</w:t>
      </w:r>
    </w:p>
    <w:p w14:paraId="2F1A5A54">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学校智慧校园展厅及数据中心机房情况见下图</w:t>
      </w: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lang w:eastAsia="zh-CN"/>
        </w:rPr>
        <w:t>。</w:t>
      </w:r>
    </w:p>
    <w:p w14:paraId="760C5CA2">
      <w:pPr>
        <w:jc w:val="center"/>
        <w:rPr>
          <w:rFonts w:ascii="黑体" w:hAnsi="黑体" w:eastAsia="黑体" w:cs="黑体"/>
          <w:spacing w:val="-4"/>
          <w:sz w:val="28"/>
          <w:szCs w:val="28"/>
          <w:highlight w:val="none"/>
          <w:lang w:eastAsia="zh-CN"/>
        </w:rPr>
      </w:pPr>
      <w:r>
        <w:rPr>
          <w:rFonts w:hint="default" w:ascii="华文中宋" w:hAnsi="华文中宋" w:eastAsia="华文中宋" w:cs="华文中宋"/>
          <w:sz w:val="24"/>
          <w:szCs w:val="32"/>
          <w:highlight w:val="none"/>
          <w:lang w:val="en-US" w:eastAsia="zh-CN"/>
        </w:rPr>
        <w:drawing>
          <wp:inline distT="0" distB="0" distL="114300" distR="114300">
            <wp:extent cx="2665730" cy="1499870"/>
            <wp:effectExtent l="0" t="0" r="1270" b="5080"/>
            <wp:docPr id="15" name="图片 1" descr="2c35a105f5f98f61c4ad9c4e588f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2c35a105f5f98f61c4ad9c4e588f464"/>
                    <pic:cNvPicPr>
                      <a:picLocks noChangeAspect="1"/>
                    </pic:cNvPicPr>
                  </pic:nvPicPr>
                  <pic:blipFill>
                    <a:blip r:embed="rId22"/>
                    <a:stretch>
                      <a:fillRect/>
                    </a:stretch>
                  </pic:blipFill>
                  <pic:spPr>
                    <a:xfrm>
                      <a:off x="0" y="0"/>
                      <a:ext cx="2665730" cy="1499870"/>
                    </a:xfrm>
                    <a:prstGeom prst="rect">
                      <a:avLst/>
                    </a:prstGeom>
                    <a:noFill/>
                    <a:ln>
                      <a:noFill/>
                    </a:ln>
                  </pic:spPr>
                </pic:pic>
              </a:graphicData>
            </a:graphic>
          </wp:inline>
        </w:drawing>
      </w:r>
      <w:r>
        <w:rPr>
          <w:rFonts w:hint="default" w:ascii="华文中宋" w:hAnsi="华文中宋" w:eastAsia="华文中宋" w:cs="华文中宋"/>
          <w:sz w:val="24"/>
          <w:szCs w:val="32"/>
          <w:highlight w:val="none"/>
          <w:lang w:val="en-US" w:eastAsia="zh-CN"/>
        </w:rPr>
        <w:drawing>
          <wp:inline distT="0" distB="0" distL="114300" distR="114300">
            <wp:extent cx="2284095" cy="1523365"/>
            <wp:effectExtent l="0" t="0" r="1905" b="635"/>
            <wp:docPr id="19" name="图片 2" descr="31a04ffedfd44f54e5a00c93fb079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31a04ffedfd44f54e5a00c93fb0799c"/>
                    <pic:cNvPicPr>
                      <a:picLocks noChangeAspect="1"/>
                    </pic:cNvPicPr>
                  </pic:nvPicPr>
                  <pic:blipFill>
                    <a:blip r:embed="rId23"/>
                    <a:stretch>
                      <a:fillRect/>
                    </a:stretch>
                  </pic:blipFill>
                  <pic:spPr>
                    <a:xfrm>
                      <a:off x="0" y="0"/>
                      <a:ext cx="2284095" cy="1523365"/>
                    </a:xfrm>
                    <a:prstGeom prst="rect">
                      <a:avLst/>
                    </a:prstGeom>
                    <a:noFill/>
                    <a:ln>
                      <a:noFill/>
                    </a:ln>
                  </pic:spPr>
                </pic:pic>
              </a:graphicData>
            </a:graphic>
          </wp:inline>
        </w:drawing>
      </w:r>
    </w:p>
    <w:p w14:paraId="60B569ED">
      <w:pPr>
        <w:spacing w:before="120" w:beforeLines="50" w:after="120" w:afterLines="50"/>
        <w:jc w:val="center"/>
        <w:rPr>
          <w:rFonts w:ascii="宋体" w:hAnsi="宋体" w:eastAsia="宋体" w:cs="宋体"/>
          <w:color w:val="auto"/>
          <w:highlight w:val="none"/>
          <w:lang w:eastAsia="zh-CN"/>
        </w:rPr>
      </w:pPr>
      <w:r>
        <w:rPr>
          <w:rFonts w:hint="eastAsia" w:ascii="宋体" w:hAnsi="宋体" w:eastAsia="宋体" w:cs="宋体"/>
          <w:color w:val="auto"/>
          <w:highlight w:val="none"/>
          <w:lang w:eastAsia="zh-CN"/>
        </w:rPr>
        <w:t>图2-7 学校智慧校园展厅及数据中心机房</w:t>
      </w:r>
    </w:p>
    <w:p w14:paraId="6DFC6B59">
      <w:pPr>
        <w:rPr>
          <w:rFonts w:ascii="黑体" w:hAnsi="黑体" w:eastAsia="黑体" w:cs="黑体"/>
          <w:spacing w:val="-4"/>
          <w:sz w:val="28"/>
          <w:szCs w:val="28"/>
          <w:highlight w:val="none"/>
          <w:lang w:eastAsia="zh-CN"/>
        </w:rPr>
      </w:pPr>
      <w:r>
        <w:rPr>
          <w:rFonts w:ascii="黑体" w:hAnsi="黑体" w:eastAsia="黑体" w:cs="黑体"/>
          <w:spacing w:val="-4"/>
          <w:sz w:val="28"/>
          <w:szCs w:val="28"/>
          <w:highlight w:val="none"/>
          <w:lang w:eastAsia="zh-CN"/>
        </w:rPr>
        <w:br w:type="page"/>
      </w:r>
    </w:p>
    <w:p w14:paraId="4857FF73">
      <w:pPr>
        <w:spacing w:before="120" w:beforeLines="50" w:after="120" w:afterLines="50"/>
        <w:jc w:val="both"/>
        <w:outlineLvl w:val="0"/>
        <w:rPr>
          <w:rFonts w:ascii="黑体" w:hAnsi="黑体" w:eastAsia="黑体" w:cs="黑体"/>
          <w:spacing w:val="9"/>
          <w:sz w:val="30"/>
          <w:szCs w:val="30"/>
          <w:highlight w:val="none"/>
          <w:lang w:eastAsia="zh-CN"/>
        </w:rPr>
      </w:pPr>
      <w:bookmarkStart w:id="30" w:name="_Toc14361"/>
      <w:r>
        <w:rPr>
          <w:rFonts w:hint="eastAsia" w:ascii="黑体" w:hAnsi="黑体" w:eastAsia="黑体" w:cs="黑体"/>
          <w:spacing w:val="9"/>
          <w:sz w:val="30"/>
          <w:szCs w:val="30"/>
          <w:highlight w:val="none"/>
          <w:lang w:eastAsia="zh-CN"/>
        </w:rPr>
        <w:t xml:space="preserve">第三部分 </w:t>
      </w:r>
      <w:r>
        <w:rPr>
          <w:rFonts w:ascii="黑体" w:hAnsi="黑体" w:eastAsia="黑体" w:cs="黑体"/>
          <w:spacing w:val="9"/>
          <w:sz w:val="30"/>
          <w:szCs w:val="30"/>
          <w:highlight w:val="none"/>
          <w:lang w:eastAsia="zh-CN"/>
        </w:rPr>
        <w:t>教学</w:t>
      </w:r>
      <w:r>
        <w:rPr>
          <w:rFonts w:hint="eastAsia" w:ascii="黑体" w:hAnsi="黑体" w:eastAsia="黑体" w:cs="黑体"/>
          <w:spacing w:val="9"/>
          <w:sz w:val="30"/>
          <w:szCs w:val="30"/>
          <w:highlight w:val="none"/>
          <w:lang w:val="en-US" w:eastAsia="zh-CN"/>
        </w:rPr>
        <w:t>建设</w:t>
      </w:r>
      <w:r>
        <w:rPr>
          <w:rFonts w:ascii="黑体" w:hAnsi="黑体" w:eastAsia="黑体" w:cs="黑体"/>
          <w:spacing w:val="9"/>
          <w:sz w:val="30"/>
          <w:szCs w:val="30"/>
          <w:highlight w:val="none"/>
          <w:lang w:eastAsia="zh-CN"/>
        </w:rPr>
        <w:t>与改革</w:t>
      </w:r>
      <w:bookmarkEnd w:id="30"/>
    </w:p>
    <w:p w14:paraId="47F0A3CE">
      <w:pPr>
        <w:adjustRightInd/>
        <w:snapToGrid/>
        <w:spacing w:before="120" w:beforeLines="50" w:after="120" w:afterLines="50"/>
        <w:jc w:val="both"/>
        <w:outlineLvl w:val="1"/>
        <w:rPr>
          <w:rFonts w:ascii="黑体" w:hAnsi="黑体" w:eastAsia="黑体" w:cs="黑体"/>
          <w:sz w:val="28"/>
          <w:szCs w:val="28"/>
          <w:highlight w:val="none"/>
          <w:lang w:eastAsia="zh-CN"/>
        </w:rPr>
      </w:pPr>
      <w:bookmarkStart w:id="31" w:name="_Toc24504"/>
      <w:r>
        <w:rPr>
          <w:rFonts w:hint="eastAsia" w:ascii="黑体" w:hAnsi="黑体" w:eastAsia="黑体" w:cs="黑体"/>
          <w:sz w:val="28"/>
          <w:szCs w:val="28"/>
          <w:highlight w:val="none"/>
          <w:lang w:eastAsia="zh-CN"/>
        </w:rPr>
        <w:t>一、教学过程各主要方面和关键环节</w:t>
      </w:r>
      <w:bookmarkEnd w:id="31"/>
    </w:p>
    <w:p w14:paraId="08B8E1AC">
      <w:pPr>
        <w:spacing w:before="120" w:beforeLines="50" w:after="120" w:afterLines="50"/>
        <w:jc w:val="both"/>
        <w:outlineLvl w:val="2"/>
        <w:rPr>
          <w:rFonts w:hint="default" w:ascii="宋体" w:hAnsi="宋体" w:eastAsia="宋体" w:cs="宋体"/>
          <w:spacing w:val="5"/>
          <w:sz w:val="24"/>
          <w:szCs w:val="24"/>
          <w:highlight w:val="none"/>
          <w:lang w:val="en-US" w:eastAsia="zh-CN"/>
        </w:rPr>
      </w:pPr>
      <w:r>
        <w:rPr>
          <w:rFonts w:hint="eastAsia" w:ascii="黑体" w:hAnsi="黑体" w:eastAsia="黑体" w:cs="黑体"/>
          <w:sz w:val="24"/>
          <w:szCs w:val="24"/>
          <w:highlight w:val="none"/>
          <w:lang w:eastAsia="zh-CN"/>
        </w:rPr>
        <w:t>（一）</w:t>
      </w:r>
      <w:r>
        <w:rPr>
          <w:rFonts w:hint="eastAsia" w:ascii="黑体" w:hAnsi="黑体" w:eastAsia="黑体" w:cs="黑体"/>
          <w:spacing w:val="5"/>
          <w:sz w:val="24"/>
          <w:szCs w:val="24"/>
          <w:highlight w:val="none"/>
          <w:lang w:val="en-US" w:eastAsia="zh-CN"/>
        </w:rPr>
        <w:t>专业建设</w:t>
      </w:r>
    </w:p>
    <w:p w14:paraId="66683228">
      <w:pPr>
        <w:spacing w:line="400" w:lineRule="exact"/>
        <w:ind w:firstLine="500" w:firstLineChars="200"/>
        <w:jc w:val="both"/>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t>学校围绕区域经济社会发展需求，落实国家和山东省教育事业发展规划，以专业建设为重点，以课程建设为核心，不断优化专业布局，丰富教学资源，深化教学改革和评价，强化实践教学，培养高素质应用型人才。</w:t>
      </w:r>
    </w:p>
    <w:p w14:paraId="51980D86">
      <w:pPr>
        <w:spacing w:before="120" w:beforeLines="50" w:after="120" w:afterLines="50"/>
        <w:jc w:val="both"/>
        <w:outlineLvl w:val="2"/>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1.服务地方经济社会发展，构建应用型专业体系</w:t>
      </w:r>
    </w:p>
    <w:p w14:paraId="337D5367">
      <w:pPr>
        <w:spacing w:line="400" w:lineRule="exact"/>
        <w:ind w:firstLine="500" w:firstLineChars="200"/>
        <w:jc w:val="both"/>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t>学校按照“统筹规划、突出优势、重点建设、示范引领”的建设思路，主动服务山东省产业结构调整、经济增长方式转变，不断调整优化专业结构布局，积极对接“6997”产业布局，重点围绕新一代信息技术、高端装备制造、医养健康、文化创意等产业领域合理规划设置专业，现有本科专业25个，其中工学10个、医学7个、管理学3个、艺术学3个、教育学1个、文学1个，形成了以医学、工学为主体，医学、工学、教育学、管理学、艺术学、文学等协调发展，具有一定特色的应用型专业体系。学校制定了《本科专业动态调整实施办法》，明确专业设置标准，建立了专业动态调整机制。近三年新设置数据科学与大数据技术、人工智能、医学检验技术、助产学、舞蹈表演等战略性新兴产业发展和民生急需相关专业5个，专业结构和布局得到进一步优化。</w:t>
      </w:r>
    </w:p>
    <w:p w14:paraId="0B7AB0B7">
      <w:pPr>
        <w:spacing w:before="120" w:beforeLines="50" w:after="120" w:afterLines="50"/>
        <w:jc w:val="both"/>
        <w:outlineLvl w:val="2"/>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2.加强专业内涵建设，提升专业建设水平</w:t>
      </w:r>
    </w:p>
    <w:p w14:paraId="17BC2E20">
      <w:pPr>
        <w:spacing w:line="400" w:lineRule="exact"/>
        <w:ind w:firstLine="500" w:firstLineChars="200"/>
        <w:jc w:val="both"/>
        <w:rPr>
          <w:rFonts w:hint="default"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eastAsia="zh-CN"/>
        </w:rPr>
        <w:t>学校制定了《本科专业设置及调整管理办法》，明确专业设置标准，建立专业动态调整机制。近三年新设置数据科学与大数据技术、人工智能、医学检验技术、助产学等战略性新兴产业发展和民生急需相关专业。学校紧紧依托地方产业行业，按照“做强工科类专业、做精医学类专业、做活文化创意类专业、做优现代金融服务类专业、做特教育类专业”的要求，以一流专业建设为引领，不断加强专业内涵建设。现有省级一流本科专业建设点4个,分别为护理学、汽车服务工程、市场营销、计算机科学与技术；校级一流本科专业6个，分别为康复治疗学、中药学、电子信息工程、学前教育、财务管理、土木工程。</w:t>
      </w:r>
    </w:p>
    <w:p w14:paraId="1B37D60A">
      <w:pPr>
        <w:spacing w:before="120" w:beforeLines="50" w:after="120" w:afterLines="50"/>
        <w:jc w:val="both"/>
        <w:outlineLvl w:val="2"/>
        <w:rPr>
          <w:rFonts w:hint="eastAsia" w:ascii="黑体" w:hAnsi="黑体" w:eastAsia="黑体" w:cs="黑体"/>
          <w:sz w:val="24"/>
          <w:szCs w:val="24"/>
          <w:highlight w:val="none"/>
          <w:lang w:eastAsia="zh-CN"/>
        </w:rPr>
      </w:pPr>
      <w:bookmarkStart w:id="32" w:name="_Toc8434"/>
      <w:bookmarkStart w:id="33" w:name="_Toc16247"/>
      <w:bookmarkStart w:id="34" w:name="_Toc17175"/>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二</w:t>
      </w:r>
      <w:r>
        <w:rPr>
          <w:rFonts w:hint="eastAsia" w:ascii="黑体" w:hAnsi="黑体" w:eastAsia="黑体" w:cs="黑体"/>
          <w:sz w:val="24"/>
          <w:szCs w:val="24"/>
          <w:highlight w:val="none"/>
          <w:lang w:eastAsia="zh-CN"/>
        </w:rPr>
        <w:t>）课程建设</w:t>
      </w:r>
      <w:bookmarkEnd w:id="32"/>
    </w:p>
    <w:p w14:paraId="4AA7C667">
      <w:pPr>
        <w:spacing w:before="120" w:beforeLines="50" w:after="120" w:afterLines="50"/>
        <w:jc w:val="both"/>
        <w:outlineLvl w:val="2"/>
        <w:rPr>
          <w:rFonts w:hint="eastAsia" w:ascii="黑体" w:hAnsi="黑体" w:eastAsia="黑体" w:cs="黑体"/>
          <w:sz w:val="24"/>
          <w:szCs w:val="24"/>
          <w:highlight w:val="none"/>
          <w:lang w:val="en-US" w:eastAsia="zh-CN"/>
        </w:rPr>
      </w:pPr>
      <w:bookmarkStart w:id="35" w:name="_Toc31944"/>
      <w:bookmarkStart w:id="36" w:name="_Toc6519"/>
      <w:r>
        <w:rPr>
          <w:rFonts w:hint="eastAsia" w:ascii="黑体" w:hAnsi="黑体" w:eastAsia="黑体" w:cs="黑体"/>
          <w:sz w:val="24"/>
          <w:szCs w:val="24"/>
          <w:highlight w:val="none"/>
          <w:lang w:val="en-US" w:eastAsia="zh-CN"/>
        </w:rPr>
        <w:t>1.全面开设“习近平新时代中国特色社会主义思想概论”课程</w:t>
      </w:r>
    </w:p>
    <w:p w14:paraId="621A356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积极推进习近平新时代中国特色社会主义思想进教材、进课堂、进头脑</w:t>
      </w:r>
      <w:r>
        <w:rPr>
          <w:rFonts w:hint="eastAsia" w:ascii="宋体" w:hAnsi="宋体" w:eastAsia="宋体" w:cs="宋体"/>
          <w:sz w:val="24"/>
          <w:szCs w:val="24"/>
          <w:highlight w:val="none"/>
          <w:lang w:val="en-US" w:eastAsia="zh-CN"/>
        </w:rPr>
        <w:t>工作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在全校学生中</w:t>
      </w:r>
      <w:r>
        <w:rPr>
          <w:rFonts w:hint="eastAsia" w:ascii="宋体" w:hAnsi="宋体" w:eastAsia="宋体" w:cs="宋体"/>
          <w:sz w:val="24"/>
          <w:szCs w:val="24"/>
          <w:highlight w:val="none"/>
          <w:lang w:eastAsia="zh-CN"/>
        </w:rPr>
        <w:t>全面开设《习近平新时代中国特色社会主义思想概论》</w:t>
      </w:r>
      <w:r>
        <w:rPr>
          <w:rFonts w:hint="eastAsia" w:ascii="宋体" w:hAnsi="宋体" w:eastAsia="宋体" w:cs="宋体"/>
          <w:sz w:val="24"/>
          <w:szCs w:val="24"/>
          <w:highlight w:val="none"/>
          <w:lang w:val="en-US" w:eastAsia="zh-CN"/>
        </w:rPr>
        <w:t>课程。还</w:t>
      </w:r>
      <w:r>
        <w:rPr>
          <w:rFonts w:hint="eastAsia" w:ascii="宋体" w:hAnsi="宋体" w:eastAsia="宋体" w:cs="宋体"/>
          <w:sz w:val="24"/>
          <w:szCs w:val="24"/>
          <w:highlight w:val="none"/>
          <w:lang w:eastAsia="zh-CN"/>
        </w:rPr>
        <w:t>设置了《党史》《新中国史》《改革开放史》《社会主义发展史》等课程，推动用党的创新理论铸魂育人。</w:t>
      </w:r>
    </w:p>
    <w:p w14:paraId="649AABBE">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2.</w:t>
      </w:r>
      <w:r>
        <w:rPr>
          <w:rFonts w:hint="eastAsia" w:ascii="黑体" w:hAnsi="黑体" w:eastAsia="黑体" w:cs="黑体"/>
          <w:sz w:val="24"/>
          <w:szCs w:val="24"/>
          <w:highlight w:val="none"/>
          <w:lang w:eastAsia="zh-CN"/>
        </w:rPr>
        <w:t>加强课程思政改革与创新</w:t>
      </w:r>
    </w:p>
    <w:p w14:paraId="53377018">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深入贯彻习近平总书记关于教育的重要论述和全国教育大会精神，落实《教育部关于印发〈高等学校课程思政建设指导纲要〉的通知》（教高〔2020〕3号）、《山东省教育厅关于深入推进高等学校课程思政建设的实施意见》(鲁教高字〔2021〕4号)等文件要求，以习近平新时代中国特色社会主义思想为指导，落实立德树人根本任务，发挥教师队伍“主力军”、课程建设“主阵地”、课堂教学“主渠道”作用，强化示范引领，强化资源共享，全面推进课程思政高质量建设，将思政工作体系贯通人才培养体系全过程，构建全员全程全方位育人大格局，全面提高人才培养质量。</w:t>
      </w:r>
    </w:p>
    <w:p w14:paraId="2E1BD4E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学校出台《课程思政建设实施方案》，开展课程思政专题培训、课程思政示范课评选等活动，将课程育人作为教学督导、课程评估和绩效考核的重要方面，形成“课程门门有思政，教师人人讲育人”的局面。</w:t>
      </w:r>
    </w:p>
    <w:p w14:paraId="5E6814A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充分挖掘育人元素，全面推进课程思政建设，将课程思政融入课堂教学全过程，重新修订课程教学大纲，充分梳理各门专业课程所蕴含的思想政治教育元素和所承载的思想政治教育功能。组织开展校级课程思政示范课程立项申报，打造一批课程思政示范课程。评选校级课程思政示范课程30门、课程思政优秀教师25人。建有省级一流本科课程1门、省级课程思政示范课程2门、省级在线开放课程3门、校级一流本科课程38门、校级课程思政示范课程40门、校级在线开放课程52门。</w:t>
      </w:r>
    </w:p>
    <w:p w14:paraId="3FD80E18">
      <w:pPr>
        <w:spacing w:before="120" w:beforeLines="50" w:after="120" w:afterLines="50"/>
        <w:jc w:val="both"/>
        <w:outlineLvl w:val="2"/>
        <w:rPr>
          <w:rFonts w:hint="eastAsia" w:ascii="宋体" w:hAnsi="宋体" w:eastAsia="宋体" w:cs="宋体"/>
          <w:sz w:val="24"/>
          <w:szCs w:val="24"/>
          <w:highlight w:val="none"/>
          <w:lang w:eastAsia="zh-CN"/>
        </w:rPr>
      </w:pPr>
      <w:r>
        <w:rPr>
          <w:rFonts w:hint="eastAsia" w:ascii="黑体" w:hAnsi="黑体" w:eastAsia="黑体" w:cs="黑体"/>
          <w:sz w:val="24"/>
          <w:szCs w:val="24"/>
          <w:highlight w:val="none"/>
          <w:lang w:val="en-US" w:eastAsia="zh-CN"/>
        </w:rPr>
        <w:t>3.</w:t>
      </w:r>
      <w:r>
        <w:rPr>
          <w:rFonts w:hint="eastAsia" w:ascii="黑体" w:hAnsi="黑体" w:eastAsia="黑体" w:cs="黑体"/>
          <w:sz w:val="24"/>
          <w:szCs w:val="24"/>
          <w:highlight w:val="none"/>
          <w:lang w:eastAsia="zh-CN"/>
        </w:rPr>
        <w:t>AI赋能智慧课程建设</w:t>
      </w:r>
    </w:p>
    <w:p w14:paraId="65A6CF65">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积极落实国家教育数字化战略行动，促进智能技术与教育教学、科学研究深度融合，推动人工智能赋能教育教学转型，制定《智慧课程建设实施方案》，投入180万元，遴选149门课程进行智慧课程建设，将人工智能技术全面融入课程，配置AI工作台，推动以智助学、以智助教、以智助管、以智助研等人工智能应用场景的落地，实现教学全流程的AI深度赋能，为师生教与学提质增效，立项省级智慧课程建设项目1项。</w:t>
      </w:r>
    </w:p>
    <w:p w14:paraId="7F95BC2A">
      <w:pPr>
        <w:spacing w:before="120" w:beforeLines="50" w:after="120" w:afterLines="50"/>
        <w:jc w:val="both"/>
        <w:outlineLvl w:val="2"/>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4.全校开设课程门数及选修课程开设情况、课堂教学规模</w:t>
      </w:r>
    </w:p>
    <w:p w14:paraId="4C5B0532">
      <w:pPr>
        <w:pStyle w:val="18"/>
        <w:keepNext w:val="0"/>
        <w:keepLines w:val="0"/>
        <w:pageBreakBefore w:val="0"/>
        <w:widowControl/>
        <w:kinsoku w:val="0"/>
        <w:wordWrap/>
        <w:overflowPunct/>
        <w:topLinePunct w:val="0"/>
        <w:autoSpaceDE w:val="0"/>
        <w:autoSpaceDN w:val="0"/>
        <w:bidi w:val="0"/>
        <w:adjustRightInd w:val="0"/>
        <w:snapToGrid w:val="0"/>
        <w:spacing w:line="400" w:lineRule="atLeast"/>
        <w:ind w:firstLine="480" w:firstLineChars="20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学校坚持“以本为本”，高度重视本科教育，保证本科课程教学质量。202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学年，全校共开设本科课程</w:t>
      </w:r>
      <w:r>
        <w:rPr>
          <w:rFonts w:hint="eastAsia" w:ascii="宋体" w:hAnsi="宋体" w:eastAsia="宋体" w:cs="宋体"/>
          <w:sz w:val="24"/>
          <w:szCs w:val="24"/>
          <w:highlight w:val="none"/>
          <w:lang w:val="en-US" w:eastAsia="zh-CN"/>
        </w:rPr>
        <w:t>949</w:t>
      </w:r>
      <w:r>
        <w:rPr>
          <w:rFonts w:hint="eastAsia" w:ascii="宋体" w:hAnsi="宋体" w:eastAsia="宋体" w:cs="宋体"/>
          <w:sz w:val="24"/>
          <w:szCs w:val="24"/>
          <w:highlight w:val="none"/>
          <w:lang w:eastAsia="zh-CN"/>
        </w:rPr>
        <w:t>门，共开设本科课程</w:t>
      </w:r>
      <w:r>
        <w:rPr>
          <w:rFonts w:hint="eastAsia" w:ascii="宋体" w:hAnsi="宋体" w:eastAsia="宋体" w:cs="宋体"/>
          <w:color w:val="auto"/>
          <w:spacing w:val="-4"/>
          <w:sz w:val="24"/>
          <w:szCs w:val="24"/>
          <w:highlight w:val="none"/>
          <w:lang w:val="en-US" w:eastAsia="zh-CN"/>
        </w:rPr>
        <w:t>3255</w:t>
      </w:r>
      <w:r>
        <w:rPr>
          <w:rFonts w:hint="eastAsia" w:ascii="宋体" w:hAnsi="宋体" w:eastAsia="宋体" w:cs="宋体"/>
          <w:sz w:val="24"/>
          <w:szCs w:val="24"/>
          <w:highlight w:val="none"/>
          <w:lang w:eastAsia="zh-CN"/>
        </w:rPr>
        <w:t>门次。2023年秋季学期开始，实施小班化教学，便于教师实现精细化管理，关注每个学生的成长和发展。在小班教学中，教师可以更灵活地调整教学策略，以满足不同学生的学习需求，有利于培养学生的自主学习能力、合作精神和创新思维。</w:t>
      </w:r>
    </w:p>
    <w:p w14:paraId="39B5D8F0">
      <w:pPr>
        <w:spacing w:line="400" w:lineRule="exact"/>
        <w:jc w:val="center"/>
        <w:rPr>
          <w:rFonts w:hint="eastAsia" w:ascii="宋体" w:hAnsi="宋体" w:eastAsia="宋体"/>
          <w:highlight w:val="none"/>
          <w:lang w:eastAsia="zh-CN"/>
        </w:rPr>
      </w:pPr>
      <w:r>
        <w:rPr>
          <w:rFonts w:hint="eastAsia" w:ascii="宋体" w:hAnsi="宋体" w:eastAsia="宋体"/>
          <w:highlight w:val="none"/>
          <w:lang w:eastAsia="zh-CN"/>
        </w:rPr>
        <w:t>表3-1 近两学年班额统计情况</w:t>
      </w:r>
    </w:p>
    <w:tbl>
      <w:tblPr>
        <w:tblStyle w:val="20"/>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402"/>
        <w:gridCol w:w="999"/>
        <w:gridCol w:w="2040"/>
        <w:gridCol w:w="2040"/>
        <w:gridCol w:w="2041"/>
      </w:tblGrid>
      <w:tr w14:paraId="1A7FFA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tblHeader/>
          <w:jc w:val="center"/>
        </w:trPr>
        <w:tc>
          <w:tcPr>
            <w:tcW w:w="1402" w:type="dxa"/>
            <w:vAlign w:val="center"/>
          </w:tcPr>
          <w:p w14:paraId="498F9895">
            <w:pPr>
              <w:widowControl w:val="0"/>
              <w:jc w:val="center"/>
              <w:rPr>
                <w:highlight w:val="none"/>
              </w:rPr>
            </w:pPr>
            <w:r>
              <w:rPr>
                <w:rFonts w:hint="eastAsia" w:ascii="宋体" w:hAnsi="宋体" w:eastAsia="宋体"/>
                <w:b/>
                <w:sz w:val="21"/>
                <w:szCs w:val="21"/>
                <w:highlight w:val="none"/>
              </w:rPr>
              <w:t>班额</w:t>
            </w:r>
          </w:p>
        </w:tc>
        <w:tc>
          <w:tcPr>
            <w:tcW w:w="999" w:type="dxa"/>
            <w:vAlign w:val="center"/>
          </w:tcPr>
          <w:p w14:paraId="0118F55F">
            <w:pPr>
              <w:widowControl w:val="0"/>
              <w:jc w:val="center"/>
              <w:rPr>
                <w:highlight w:val="none"/>
              </w:rPr>
            </w:pPr>
            <w:r>
              <w:rPr>
                <w:rFonts w:hint="eastAsia" w:ascii="宋体" w:hAnsi="宋体" w:eastAsia="宋体"/>
                <w:b/>
                <w:sz w:val="21"/>
                <w:szCs w:val="21"/>
                <w:highlight w:val="none"/>
              </w:rPr>
              <w:t>学年</w:t>
            </w:r>
          </w:p>
        </w:tc>
        <w:tc>
          <w:tcPr>
            <w:tcW w:w="2040" w:type="dxa"/>
            <w:vAlign w:val="center"/>
          </w:tcPr>
          <w:p w14:paraId="25F7D261">
            <w:pPr>
              <w:widowControl w:val="0"/>
              <w:jc w:val="center"/>
              <w:rPr>
                <w:highlight w:val="none"/>
              </w:rPr>
            </w:pPr>
            <w:r>
              <w:rPr>
                <w:rFonts w:hint="eastAsia" w:ascii="宋体" w:hAnsi="宋体" w:eastAsia="宋体"/>
                <w:b/>
                <w:sz w:val="21"/>
                <w:szCs w:val="21"/>
                <w:highlight w:val="none"/>
              </w:rPr>
              <w:t>公共必修课（%）</w:t>
            </w:r>
          </w:p>
        </w:tc>
        <w:tc>
          <w:tcPr>
            <w:tcW w:w="2040" w:type="dxa"/>
            <w:vAlign w:val="center"/>
          </w:tcPr>
          <w:p w14:paraId="16D0A5CD">
            <w:pPr>
              <w:widowControl w:val="0"/>
              <w:jc w:val="center"/>
              <w:rPr>
                <w:highlight w:val="none"/>
              </w:rPr>
            </w:pPr>
            <w:r>
              <w:rPr>
                <w:rFonts w:hint="eastAsia" w:ascii="宋体" w:hAnsi="宋体" w:eastAsia="宋体"/>
                <w:b/>
                <w:sz w:val="21"/>
                <w:szCs w:val="21"/>
                <w:highlight w:val="none"/>
              </w:rPr>
              <w:t>公共选修课（%）</w:t>
            </w:r>
          </w:p>
        </w:tc>
        <w:tc>
          <w:tcPr>
            <w:tcW w:w="2041" w:type="dxa"/>
            <w:vAlign w:val="center"/>
          </w:tcPr>
          <w:p w14:paraId="4019845F">
            <w:pPr>
              <w:widowControl w:val="0"/>
              <w:jc w:val="center"/>
              <w:rPr>
                <w:highlight w:val="none"/>
              </w:rPr>
            </w:pPr>
            <w:r>
              <w:rPr>
                <w:rFonts w:hint="eastAsia" w:ascii="宋体" w:hAnsi="宋体" w:eastAsia="宋体"/>
                <w:b/>
                <w:sz w:val="21"/>
                <w:szCs w:val="21"/>
                <w:highlight w:val="none"/>
              </w:rPr>
              <w:t>专业课（%）</w:t>
            </w:r>
          </w:p>
        </w:tc>
      </w:tr>
      <w:tr w14:paraId="15ECA4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restart"/>
            <w:vAlign w:val="center"/>
          </w:tcPr>
          <w:p w14:paraId="3D32C7B7">
            <w:pPr>
              <w:widowControl w:val="0"/>
              <w:jc w:val="center"/>
              <w:rPr>
                <w:highlight w:val="none"/>
              </w:rPr>
            </w:pPr>
            <w:r>
              <w:rPr>
                <w:rFonts w:hint="eastAsia" w:ascii="宋体" w:hAnsi="宋体" w:eastAsia="宋体"/>
                <w:sz w:val="21"/>
                <w:szCs w:val="21"/>
                <w:highlight w:val="none"/>
              </w:rPr>
              <w:t>30人及以下</w:t>
            </w:r>
          </w:p>
        </w:tc>
        <w:tc>
          <w:tcPr>
            <w:tcW w:w="999" w:type="dxa"/>
            <w:vAlign w:val="center"/>
          </w:tcPr>
          <w:p w14:paraId="659757D6">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本学年</w:t>
            </w:r>
          </w:p>
        </w:tc>
        <w:tc>
          <w:tcPr>
            <w:tcW w:w="2040" w:type="dxa"/>
            <w:vAlign w:val="center"/>
          </w:tcPr>
          <w:p w14:paraId="25F4E17E">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24.28</w:t>
            </w:r>
          </w:p>
        </w:tc>
        <w:tc>
          <w:tcPr>
            <w:tcW w:w="2040" w:type="dxa"/>
            <w:vAlign w:val="center"/>
          </w:tcPr>
          <w:p w14:paraId="17584279">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22.95</w:t>
            </w:r>
          </w:p>
        </w:tc>
        <w:tc>
          <w:tcPr>
            <w:tcW w:w="2041" w:type="dxa"/>
            <w:vAlign w:val="center"/>
          </w:tcPr>
          <w:p w14:paraId="6A518D17">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23.07</w:t>
            </w:r>
          </w:p>
        </w:tc>
      </w:tr>
      <w:tr w14:paraId="5B2403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continue"/>
            <w:vAlign w:val="center"/>
          </w:tcPr>
          <w:p w14:paraId="5E3465BC">
            <w:pPr>
              <w:widowControl w:val="0"/>
              <w:jc w:val="center"/>
              <w:rPr>
                <w:highlight w:val="none"/>
              </w:rPr>
            </w:pPr>
          </w:p>
        </w:tc>
        <w:tc>
          <w:tcPr>
            <w:tcW w:w="999" w:type="dxa"/>
            <w:vAlign w:val="center"/>
          </w:tcPr>
          <w:p w14:paraId="27FA0D9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上学年</w:t>
            </w:r>
          </w:p>
        </w:tc>
        <w:tc>
          <w:tcPr>
            <w:tcW w:w="2040" w:type="dxa"/>
            <w:vAlign w:val="center"/>
          </w:tcPr>
          <w:p w14:paraId="67C4D85D">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14.30</w:t>
            </w:r>
          </w:p>
        </w:tc>
        <w:tc>
          <w:tcPr>
            <w:tcW w:w="2040" w:type="dxa"/>
            <w:vAlign w:val="center"/>
          </w:tcPr>
          <w:p w14:paraId="40162458">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43.28</w:t>
            </w:r>
          </w:p>
        </w:tc>
        <w:tc>
          <w:tcPr>
            <w:tcW w:w="2041" w:type="dxa"/>
            <w:vAlign w:val="center"/>
          </w:tcPr>
          <w:p w14:paraId="02F2973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18.07</w:t>
            </w:r>
          </w:p>
        </w:tc>
      </w:tr>
      <w:tr w14:paraId="0F52CA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restart"/>
            <w:vAlign w:val="center"/>
          </w:tcPr>
          <w:p w14:paraId="4E86115D">
            <w:pPr>
              <w:widowControl w:val="0"/>
              <w:jc w:val="center"/>
              <w:rPr>
                <w:highlight w:val="none"/>
              </w:rPr>
            </w:pPr>
            <w:r>
              <w:rPr>
                <w:rFonts w:hint="eastAsia" w:ascii="宋体" w:hAnsi="宋体" w:eastAsia="宋体"/>
                <w:sz w:val="21"/>
                <w:szCs w:val="21"/>
                <w:highlight w:val="none"/>
              </w:rPr>
              <w:t>31-60人</w:t>
            </w:r>
          </w:p>
        </w:tc>
        <w:tc>
          <w:tcPr>
            <w:tcW w:w="999" w:type="dxa"/>
            <w:vAlign w:val="center"/>
          </w:tcPr>
          <w:p w14:paraId="12461B76">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本学年</w:t>
            </w:r>
          </w:p>
        </w:tc>
        <w:tc>
          <w:tcPr>
            <w:tcW w:w="2040" w:type="dxa"/>
            <w:vAlign w:val="center"/>
          </w:tcPr>
          <w:p w14:paraId="417A1910">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73.01</w:t>
            </w:r>
          </w:p>
        </w:tc>
        <w:tc>
          <w:tcPr>
            <w:tcW w:w="2040" w:type="dxa"/>
            <w:vAlign w:val="center"/>
          </w:tcPr>
          <w:p w14:paraId="273A4427">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74.59</w:t>
            </w:r>
          </w:p>
        </w:tc>
        <w:tc>
          <w:tcPr>
            <w:tcW w:w="2041" w:type="dxa"/>
            <w:vAlign w:val="center"/>
          </w:tcPr>
          <w:p w14:paraId="7DD56FCB">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76.08</w:t>
            </w:r>
          </w:p>
        </w:tc>
      </w:tr>
      <w:tr w14:paraId="11CD74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continue"/>
            <w:vAlign w:val="center"/>
          </w:tcPr>
          <w:p w14:paraId="14EA845C">
            <w:pPr>
              <w:widowControl w:val="0"/>
              <w:jc w:val="center"/>
              <w:rPr>
                <w:highlight w:val="none"/>
              </w:rPr>
            </w:pPr>
          </w:p>
        </w:tc>
        <w:tc>
          <w:tcPr>
            <w:tcW w:w="999" w:type="dxa"/>
            <w:vAlign w:val="center"/>
          </w:tcPr>
          <w:p w14:paraId="2351712D">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上学年</w:t>
            </w:r>
          </w:p>
        </w:tc>
        <w:tc>
          <w:tcPr>
            <w:tcW w:w="2040" w:type="dxa"/>
            <w:vAlign w:val="center"/>
          </w:tcPr>
          <w:p w14:paraId="63BFDA84">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83.02</w:t>
            </w:r>
          </w:p>
        </w:tc>
        <w:tc>
          <w:tcPr>
            <w:tcW w:w="2040" w:type="dxa"/>
            <w:vAlign w:val="center"/>
          </w:tcPr>
          <w:p w14:paraId="76823DF1">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36.22</w:t>
            </w:r>
          </w:p>
        </w:tc>
        <w:tc>
          <w:tcPr>
            <w:tcW w:w="2041" w:type="dxa"/>
            <w:vAlign w:val="center"/>
          </w:tcPr>
          <w:p w14:paraId="354B55CF">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78.74</w:t>
            </w:r>
          </w:p>
        </w:tc>
      </w:tr>
      <w:tr w14:paraId="11EBBB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restart"/>
            <w:vAlign w:val="center"/>
          </w:tcPr>
          <w:p w14:paraId="239B5F52">
            <w:pPr>
              <w:widowControl w:val="0"/>
              <w:jc w:val="center"/>
              <w:rPr>
                <w:highlight w:val="none"/>
              </w:rPr>
            </w:pPr>
            <w:r>
              <w:rPr>
                <w:rFonts w:hint="eastAsia" w:ascii="宋体" w:hAnsi="宋体" w:eastAsia="宋体"/>
                <w:sz w:val="21"/>
                <w:szCs w:val="21"/>
                <w:highlight w:val="none"/>
              </w:rPr>
              <w:t>61-90人</w:t>
            </w:r>
          </w:p>
        </w:tc>
        <w:tc>
          <w:tcPr>
            <w:tcW w:w="999" w:type="dxa"/>
            <w:vAlign w:val="center"/>
          </w:tcPr>
          <w:p w14:paraId="25CD11CB">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本学年</w:t>
            </w:r>
          </w:p>
        </w:tc>
        <w:tc>
          <w:tcPr>
            <w:tcW w:w="2040" w:type="dxa"/>
            <w:vAlign w:val="center"/>
          </w:tcPr>
          <w:p w14:paraId="26B6C8CF">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0.72</w:t>
            </w:r>
          </w:p>
        </w:tc>
        <w:tc>
          <w:tcPr>
            <w:tcW w:w="2040" w:type="dxa"/>
            <w:vAlign w:val="center"/>
          </w:tcPr>
          <w:p w14:paraId="39227CC2">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1.64</w:t>
            </w:r>
          </w:p>
        </w:tc>
        <w:tc>
          <w:tcPr>
            <w:tcW w:w="2041" w:type="dxa"/>
            <w:vAlign w:val="center"/>
          </w:tcPr>
          <w:p w14:paraId="7D45346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0.00</w:t>
            </w:r>
          </w:p>
        </w:tc>
      </w:tr>
      <w:tr w14:paraId="46BE05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continue"/>
            <w:vAlign w:val="center"/>
          </w:tcPr>
          <w:p w14:paraId="33D11805">
            <w:pPr>
              <w:widowControl w:val="0"/>
              <w:jc w:val="center"/>
              <w:rPr>
                <w:highlight w:val="none"/>
              </w:rPr>
            </w:pPr>
          </w:p>
        </w:tc>
        <w:tc>
          <w:tcPr>
            <w:tcW w:w="999" w:type="dxa"/>
            <w:vAlign w:val="center"/>
          </w:tcPr>
          <w:p w14:paraId="7BE74D6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上学年</w:t>
            </w:r>
          </w:p>
        </w:tc>
        <w:tc>
          <w:tcPr>
            <w:tcW w:w="2040" w:type="dxa"/>
            <w:vAlign w:val="center"/>
          </w:tcPr>
          <w:p w14:paraId="654C3417">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1.83</w:t>
            </w:r>
          </w:p>
        </w:tc>
        <w:tc>
          <w:tcPr>
            <w:tcW w:w="2040" w:type="dxa"/>
            <w:vAlign w:val="center"/>
          </w:tcPr>
          <w:p w14:paraId="38E08E9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13.90</w:t>
            </w:r>
          </w:p>
        </w:tc>
        <w:tc>
          <w:tcPr>
            <w:tcW w:w="2041" w:type="dxa"/>
            <w:vAlign w:val="center"/>
          </w:tcPr>
          <w:p w14:paraId="08070F59">
            <w:pPr>
              <w:keepNext w:val="0"/>
              <w:keepLines w:val="0"/>
              <w:pageBreakBefore w:val="0"/>
              <w:widowControl w:val="0"/>
              <w:kinsoku/>
              <w:wordWrap/>
              <w:overflowPunct/>
              <w:topLinePunct w:val="0"/>
              <w:autoSpaceDE/>
              <w:autoSpaceDN/>
              <w:bidi w:val="0"/>
              <w:adjustRightInd/>
              <w:snapToGrid/>
              <w:jc w:val="center"/>
              <w:textAlignment w:val="auto"/>
              <w:rPr>
                <w:rFonts w:hint="default"/>
                <w:highlight w:val="none"/>
                <w:lang w:val="en-US"/>
              </w:rPr>
            </w:pPr>
            <w:r>
              <w:rPr>
                <w:rFonts w:hint="eastAsia" w:ascii="宋体" w:hAnsi="宋体" w:eastAsia="宋体"/>
                <w:sz w:val="21"/>
                <w:szCs w:val="21"/>
                <w:highlight w:val="none"/>
                <w:lang w:val="en-US" w:eastAsia="zh-CN"/>
              </w:rPr>
              <w:t>2.67</w:t>
            </w:r>
          </w:p>
        </w:tc>
      </w:tr>
      <w:tr w14:paraId="0D3BDDE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restart"/>
            <w:vAlign w:val="center"/>
          </w:tcPr>
          <w:p w14:paraId="566EDD7A">
            <w:pPr>
              <w:widowControl w:val="0"/>
              <w:jc w:val="center"/>
              <w:rPr>
                <w:highlight w:val="none"/>
              </w:rPr>
            </w:pPr>
            <w:r>
              <w:rPr>
                <w:rFonts w:hint="eastAsia" w:ascii="宋体" w:hAnsi="宋体" w:eastAsia="宋体"/>
                <w:sz w:val="21"/>
                <w:szCs w:val="21"/>
                <w:highlight w:val="none"/>
              </w:rPr>
              <w:t>90人以上</w:t>
            </w:r>
          </w:p>
        </w:tc>
        <w:tc>
          <w:tcPr>
            <w:tcW w:w="999" w:type="dxa"/>
            <w:vAlign w:val="center"/>
          </w:tcPr>
          <w:p w14:paraId="348DEF4D">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本学年</w:t>
            </w:r>
          </w:p>
        </w:tc>
        <w:tc>
          <w:tcPr>
            <w:tcW w:w="2040" w:type="dxa"/>
            <w:vAlign w:val="center"/>
          </w:tcPr>
          <w:p w14:paraId="38DC164A">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1.99</w:t>
            </w:r>
          </w:p>
        </w:tc>
        <w:tc>
          <w:tcPr>
            <w:tcW w:w="2040" w:type="dxa"/>
            <w:vAlign w:val="center"/>
          </w:tcPr>
          <w:p w14:paraId="68D400B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0.82</w:t>
            </w:r>
          </w:p>
        </w:tc>
        <w:tc>
          <w:tcPr>
            <w:tcW w:w="2041" w:type="dxa"/>
            <w:vAlign w:val="center"/>
          </w:tcPr>
          <w:p w14:paraId="120E1302">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0.85</w:t>
            </w:r>
          </w:p>
        </w:tc>
      </w:tr>
      <w:tr w14:paraId="32668E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1" w:hRule="atLeast"/>
          <w:jc w:val="center"/>
        </w:trPr>
        <w:tc>
          <w:tcPr>
            <w:tcW w:w="1402" w:type="dxa"/>
            <w:vMerge w:val="continue"/>
            <w:vAlign w:val="center"/>
          </w:tcPr>
          <w:p w14:paraId="271EED2F">
            <w:pPr>
              <w:widowControl w:val="0"/>
              <w:jc w:val="center"/>
              <w:rPr>
                <w:highlight w:val="none"/>
              </w:rPr>
            </w:pPr>
          </w:p>
        </w:tc>
        <w:tc>
          <w:tcPr>
            <w:tcW w:w="999" w:type="dxa"/>
            <w:vAlign w:val="center"/>
          </w:tcPr>
          <w:p w14:paraId="6FCBD295">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rPr>
              <w:t>上学年</w:t>
            </w:r>
          </w:p>
        </w:tc>
        <w:tc>
          <w:tcPr>
            <w:tcW w:w="2040" w:type="dxa"/>
            <w:vAlign w:val="center"/>
          </w:tcPr>
          <w:p w14:paraId="5B88594A">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0.85</w:t>
            </w:r>
          </w:p>
        </w:tc>
        <w:tc>
          <w:tcPr>
            <w:tcW w:w="2040" w:type="dxa"/>
            <w:vAlign w:val="center"/>
          </w:tcPr>
          <w:p w14:paraId="41002149">
            <w:pPr>
              <w:keepNext w:val="0"/>
              <w:keepLines w:val="0"/>
              <w:pageBreakBefore w:val="0"/>
              <w:widowControl w:val="0"/>
              <w:kinsoku/>
              <w:wordWrap/>
              <w:overflowPunct/>
              <w:topLinePunct w:val="0"/>
              <w:autoSpaceDE/>
              <w:autoSpaceDN/>
              <w:bidi w:val="0"/>
              <w:adjustRightInd/>
              <w:snapToGrid/>
              <w:jc w:val="center"/>
              <w:textAlignment w:val="auto"/>
              <w:rPr>
                <w:highlight w:val="none"/>
              </w:rPr>
            </w:pPr>
            <w:r>
              <w:rPr>
                <w:rFonts w:hint="eastAsia" w:ascii="宋体" w:hAnsi="宋体" w:eastAsia="宋体"/>
                <w:sz w:val="21"/>
                <w:szCs w:val="21"/>
                <w:highlight w:val="none"/>
                <w:lang w:val="en-US" w:eastAsia="zh-CN"/>
              </w:rPr>
              <w:t>6.61</w:t>
            </w:r>
          </w:p>
        </w:tc>
        <w:tc>
          <w:tcPr>
            <w:tcW w:w="2041" w:type="dxa"/>
            <w:vAlign w:val="center"/>
          </w:tcPr>
          <w:p w14:paraId="77446AAA">
            <w:pPr>
              <w:keepNext w:val="0"/>
              <w:keepLines w:val="0"/>
              <w:pageBreakBefore w:val="0"/>
              <w:widowControl w:val="0"/>
              <w:kinsoku/>
              <w:wordWrap/>
              <w:overflowPunct/>
              <w:topLinePunct w:val="0"/>
              <w:autoSpaceDE/>
              <w:autoSpaceDN/>
              <w:bidi w:val="0"/>
              <w:adjustRightInd/>
              <w:snapToGrid/>
              <w:jc w:val="center"/>
              <w:textAlignment w:val="auto"/>
              <w:rPr>
                <w:rFonts w:hint="default"/>
                <w:highlight w:val="none"/>
                <w:lang w:val="en-US"/>
              </w:rPr>
            </w:pPr>
            <w:r>
              <w:rPr>
                <w:rFonts w:hint="eastAsia" w:ascii="宋体" w:hAnsi="宋体" w:eastAsia="宋体"/>
                <w:sz w:val="21"/>
                <w:szCs w:val="21"/>
                <w:highlight w:val="none"/>
                <w:lang w:val="en-US" w:eastAsia="zh-CN"/>
              </w:rPr>
              <w:t>0.52</w:t>
            </w:r>
          </w:p>
        </w:tc>
      </w:tr>
    </w:tbl>
    <w:p w14:paraId="5685C82F">
      <w:pPr>
        <w:spacing w:line="400" w:lineRule="exact"/>
        <w:jc w:val="center"/>
        <w:rPr>
          <w:rFonts w:hint="eastAsia" w:ascii="宋体" w:hAnsi="宋体" w:eastAsia="宋体"/>
          <w:highlight w:val="none"/>
          <w:lang w:eastAsia="zh-CN"/>
        </w:rPr>
      </w:pPr>
    </w:p>
    <w:p w14:paraId="7C50F97E">
      <w:pPr>
        <w:pStyle w:val="18"/>
        <w:keepNext w:val="0"/>
        <w:keepLines w:val="0"/>
        <w:pageBreakBefore w:val="0"/>
        <w:widowControl/>
        <w:kinsoku w:val="0"/>
        <w:wordWrap/>
        <w:overflowPunct/>
        <w:topLinePunct w:val="0"/>
        <w:autoSpaceDE w:val="0"/>
        <w:autoSpaceDN w:val="0"/>
        <w:bidi w:val="0"/>
        <w:adjustRightInd w:val="0"/>
        <w:snapToGrid w:val="0"/>
        <w:spacing w:line="400" w:lineRule="atLeast"/>
        <w:ind w:firstLine="480" w:firstLineChars="20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设置通识选修课、专业拓展选修课和第二课堂活动等选修模块。制定《通识教育选修课程管理办法》，加强通识教育选修课建设与管理，设置“四史”、国学经典、医养健康、文学修养、艺术审美、科学技术、体育运动和创新创业8个通识选修模块。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学年，开出通识教育选修课</w:t>
      </w:r>
      <w:r>
        <w:rPr>
          <w:rFonts w:hint="eastAsia" w:ascii="宋体" w:hAnsi="宋体" w:eastAsia="宋体" w:cs="宋体"/>
          <w:sz w:val="24"/>
          <w:szCs w:val="24"/>
          <w:highlight w:val="none"/>
          <w:lang w:val="en-US" w:eastAsia="zh-CN"/>
        </w:rPr>
        <w:t>122</w:t>
      </w:r>
      <w:r>
        <w:rPr>
          <w:rFonts w:hint="eastAsia" w:ascii="宋体" w:hAnsi="宋体" w:eastAsia="宋体" w:cs="宋体"/>
          <w:sz w:val="24"/>
          <w:szCs w:val="24"/>
          <w:highlight w:val="none"/>
          <w:lang w:eastAsia="zh-CN"/>
        </w:rPr>
        <w:t>门；2022版人才培养方案按照应修学分1.5倍的原则设置专业拓展选修课，满足学生选课需求。</w:t>
      </w:r>
    </w:p>
    <w:p w14:paraId="7C5E2D33">
      <w:pPr>
        <w:spacing w:before="120" w:beforeLines="50" w:after="120" w:afterLines="50"/>
        <w:jc w:val="both"/>
        <w:outlineLvl w:val="2"/>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三</w:t>
      </w: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教材</w:t>
      </w:r>
      <w:r>
        <w:rPr>
          <w:rFonts w:hint="eastAsia" w:ascii="黑体" w:hAnsi="黑体" w:eastAsia="黑体" w:cs="黑体"/>
          <w:sz w:val="24"/>
          <w:szCs w:val="24"/>
          <w:highlight w:val="none"/>
          <w:lang w:eastAsia="zh-CN"/>
        </w:rPr>
        <w:t>建设</w:t>
      </w:r>
    </w:p>
    <w:p w14:paraId="10A4B926">
      <w:pPr>
        <w:spacing w:before="120" w:beforeLines="50" w:after="120" w:afterLines="50"/>
        <w:jc w:val="both"/>
        <w:outlineLvl w:val="2"/>
        <w:rPr>
          <w:rFonts w:hint="eastAsia" w:ascii="宋体" w:hAnsi="宋体" w:eastAsia="宋体" w:cs="宋体"/>
          <w:sz w:val="24"/>
          <w:szCs w:val="24"/>
          <w:highlight w:val="none"/>
          <w:lang w:eastAsia="zh-CN"/>
        </w:rPr>
      </w:pPr>
      <w:r>
        <w:rPr>
          <w:rFonts w:hint="eastAsia" w:ascii="黑体" w:hAnsi="黑体" w:eastAsia="黑体" w:cs="黑体"/>
          <w:sz w:val="24"/>
          <w:szCs w:val="24"/>
          <w:highlight w:val="none"/>
          <w:lang w:val="en-US" w:eastAsia="zh-CN"/>
        </w:rPr>
        <w:t>1.</w:t>
      </w:r>
      <w:r>
        <w:rPr>
          <w:rFonts w:hint="eastAsia" w:ascii="黑体" w:hAnsi="黑体" w:eastAsia="黑体" w:cs="黑体"/>
          <w:sz w:val="24"/>
          <w:szCs w:val="24"/>
          <w:highlight w:val="none"/>
          <w:lang w:eastAsia="zh-CN"/>
        </w:rPr>
        <w:t>全面落实“马工程”与优质规划教材</w:t>
      </w:r>
    </w:p>
    <w:p w14:paraId="1D8C20C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重视教材建设与管理，提高教材选用质量。认真落实中共中央宣传部、教育部、省教育厅关于马工程教材的有关文件精神，开设哲学社会科学相关课程的学院必须统一使用“马工程”重点教材，涉及哲学、政治学、经济学和艺术学类等相关课程及相应课程的教材均已按照要求选用“马工程”指定教材，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学年，选用马工程重点教材课程覆盖率100%。坚持优先选用国家级和省部级规划教材及获奖教材，提高教材的选用质量。</w:t>
      </w:r>
    </w:p>
    <w:p w14:paraId="603DEEA2">
      <w:pPr>
        <w:spacing w:before="120" w:beforeLines="50" w:after="120" w:afterLines="50"/>
        <w:jc w:val="both"/>
        <w:outlineLvl w:val="2"/>
        <w:rPr>
          <w:rFonts w:hint="eastAsia" w:ascii="宋体" w:hAnsi="宋体" w:eastAsia="宋体" w:cs="宋体"/>
          <w:sz w:val="24"/>
          <w:szCs w:val="24"/>
          <w:highlight w:val="none"/>
          <w:lang w:eastAsia="zh-CN"/>
        </w:rPr>
      </w:pPr>
      <w:r>
        <w:rPr>
          <w:rFonts w:hint="eastAsia" w:ascii="黑体" w:hAnsi="黑体" w:eastAsia="黑体" w:cs="黑体"/>
          <w:sz w:val="24"/>
          <w:szCs w:val="24"/>
          <w:highlight w:val="none"/>
          <w:lang w:val="en-US" w:eastAsia="zh-CN"/>
        </w:rPr>
        <w:t>2.</w:t>
      </w:r>
      <w:r>
        <w:rPr>
          <w:rFonts w:hint="eastAsia" w:ascii="黑体" w:hAnsi="黑体" w:eastAsia="黑体" w:cs="黑体"/>
          <w:sz w:val="24"/>
          <w:szCs w:val="24"/>
          <w:highlight w:val="none"/>
          <w:lang w:eastAsia="zh-CN"/>
        </w:rPr>
        <w:t>规范教材选用与审查工作流程</w:t>
      </w:r>
    </w:p>
    <w:p w14:paraId="2711071A">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为贯彻落实教育部《普通高等学院教材管理办法》，进一步规范教材选用和审查程序，做好教材的选用和征订工作，保障教学工作开展。学院成立了教材工作领导小组，由分管院长担任组长，统筹全校教材建设与管理。领导小组下设教材建设与管理专家委员会，委员会办公室设在教务处，办公室主任由教务处处长兼任。教材建设与管理专家委员会主要负责贯彻、落实教材工作的各项方针、政策；制定学院教材建设规划；负责教材建设立项的评审、教材选用审批和优秀教材的评选、推荐工作。要求各专业必须选用近三年普通高等教育本科国家级规划教材，严把教材选用质量关，2024-2025学年所有课程，全部使用规划教材。</w:t>
      </w:r>
    </w:p>
    <w:p w14:paraId="0F8BF29D">
      <w:pPr>
        <w:spacing w:before="120" w:beforeLines="50" w:after="120" w:afterLines="50"/>
        <w:jc w:val="both"/>
        <w:outlineLvl w:val="2"/>
        <w:rPr>
          <w:rFonts w:hint="eastAsia" w:ascii="宋体" w:hAnsi="宋体" w:eastAsia="宋体" w:cs="宋体"/>
          <w:sz w:val="24"/>
          <w:szCs w:val="24"/>
          <w:highlight w:val="none"/>
          <w:lang w:eastAsia="zh-CN"/>
        </w:rPr>
      </w:pPr>
      <w:r>
        <w:rPr>
          <w:rFonts w:hint="eastAsia" w:ascii="黑体" w:hAnsi="黑体" w:eastAsia="黑体" w:cs="黑体"/>
          <w:sz w:val="24"/>
          <w:szCs w:val="24"/>
          <w:highlight w:val="none"/>
          <w:lang w:val="en-US" w:eastAsia="zh-CN"/>
        </w:rPr>
        <w:t>3.</w:t>
      </w:r>
      <w:r>
        <w:rPr>
          <w:rFonts w:hint="eastAsia" w:ascii="黑体" w:hAnsi="黑体" w:eastAsia="黑体" w:cs="黑体"/>
          <w:sz w:val="24"/>
          <w:szCs w:val="24"/>
          <w:highlight w:val="none"/>
          <w:lang w:eastAsia="zh-CN"/>
        </w:rPr>
        <w:t>推动校本教材开发与质量提升</w:t>
      </w:r>
    </w:p>
    <w:p w14:paraId="476AFF91">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强化特色教材建设，为学生提供高效优质的教材、讲义等高水平教学资源。学校制定了《山东现代学院教材立项项目管理办法》对教师教材编写进行了规范，强调教材编写的调研工作，规范教材编写的环节和流程，保证教材编写的质量。加强教材使用的跟踪反馈。加强应用型特色教材编写立项，鼓励教师开发编写适合本校特色、高质量校本教材，进行重点特色校本教材建设。</w:t>
      </w:r>
    </w:p>
    <w:p w14:paraId="7F504436">
      <w:pPr>
        <w:spacing w:before="120" w:beforeLines="50" w:after="120" w:afterLines="50"/>
        <w:jc w:val="both"/>
        <w:outlineLvl w:val="2"/>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四</w:t>
      </w: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教学改革</w:t>
      </w:r>
    </w:p>
    <w:p w14:paraId="17F73D30">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进一步完善</w:t>
      </w:r>
      <w:r>
        <w:rPr>
          <w:rFonts w:hint="eastAsia" w:ascii="宋体" w:hAnsi="宋体" w:eastAsia="宋体" w:cs="宋体"/>
          <w:sz w:val="24"/>
          <w:szCs w:val="24"/>
          <w:highlight w:val="none"/>
          <w:lang w:eastAsia="zh-CN"/>
        </w:rPr>
        <w:t>《关于深化教学综合改革的实施意见》《教学奖励办法》《教学改革项目管理办法》，以培养学生能力为中心推进课堂教学改革，打造高效互动课堂。组织教师集体备课、相互听课、经验分享，举办公开课、说课、磨课、专题讲座培训等活动，促进教师之间业务交流，提高教师整体教学水平。推广启发式、参与式、探究式、案例式等教学方法，运用现代教育技术，围绕学生能力培养创新教学模式，提升课堂教学质量。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学年，获评省级教学成果奖二等奖</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项，2025年组织申报省级本科教学改革研究项目7项。</w:t>
      </w:r>
    </w:p>
    <w:p w14:paraId="50829733">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推进学业评价改革，建立多元化考核模式。以学习成果为导向，改进学业评价方法，建立过程性考核与终结性考核有机结合的学业考评制度，将课堂表现、阶段性测验、团队作业、综合性大作业、实践操作、调研报告等作为过程性考核内容，成绩占比一般不低于30%。鼓励任课教师根据专业特点和课程性质开展创新性考核，如艺术设计类课程以完成作品或成果形式考核，技能训练类课程以综合性实验报告或技能操作等方式考核。</w:t>
      </w:r>
    </w:p>
    <w:p w14:paraId="0EE89636">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实施课堂教学质量提升工程，引导全体教师开展课堂教学改革，充分利用智慧教室和实验实训中心，建设优质的线上、线下、混合式课程和实践教学示范课程。《推销实务》实行课程思政教学和线上线下混合式教学改革，获批省级一流课程。《诊断学》《高等数学》等课程运用信息技术进行课堂教学改革，获评山东省在线开放课程。《基础护理学》注重实践操作结合综合案例教学，使多数学生顺利通过护士职业资格证考试。《财务报表分析》开展“数字化</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eastAsia="zh-CN"/>
        </w:rPr>
        <w:t>新文科”视域下的赛训融合的财务管理综合实训改革，获评校级混合式一流课程。《儿科护理学》实施“六模块多项目理实一体化”实践教学改革，获评校级混合式一流课程。</w:t>
      </w:r>
    </w:p>
    <w:bookmarkEnd w:id="35"/>
    <w:bookmarkEnd w:id="36"/>
    <w:p w14:paraId="1ED9370E">
      <w:pPr>
        <w:spacing w:before="120" w:beforeLines="50" w:after="120" w:afterLines="50"/>
        <w:jc w:val="both"/>
        <w:outlineLvl w:val="2"/>
        <w:rPr>
          <w:rFonts w:hint="eastAsia" w:ascii="黑体" w:hAnsi="黑体" w:eastAsia="黑体" w:cs="黑体"/>
          <w:sz w:val="24"/>
          <w:szCs w:val="24"/>
          <w:highlight w:val="none"/>
          <w:lang w:eastAsia="zh-CN"/>
        </w:rPr>
      </w:pPr>
      <w:bookmarkStart w:id="37" w:name="_Toc24491"/>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五</w:t>
      </w:r>
      <w:r>
        <w:rPr>
          <w:rFonts w:hint="eastAsia" w:ascii="黑体" w:hAnsi="黑体" w:eastAsia="黑体" w:cs="黑体"/>
          <w:sz w:val="24"/>
          <w:szCs w:val="24"/>
          <w:highlight w:val="none"/>
          <w:lang w:eastAsia="zh-CN"/>
        </w:rPr>
        <w:t>）实践教学</w:t>
      </w:r>
      <w:bookmarkEnd w:id="37"/>
    </w:p>
    <w:p w14:paraId="03BC8ED1">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1.</w:t>
      </w:r>
      <w:r>
        <w:rPr>
          <w:rFonts w:hint="eastAsia" w:ascii="黑体" w:hAnsi="黑体" w:eastAsia="黑体" w:cs="黑体"/>
          <w:sz w:val="24"/>
          <w:szCs w:val="24"/>
          <w:highlight w:val="none"/>
          <w:lang w:eastAsia="zh-CN"/>
        </w:rPr>
        <w:t>实验教学</w:t>
      </w:r>
    </w:p>
    <w:p w14:paraId="0A78EA7C">
      <w:pPr>
        <w:spacing w:line="400" w:lineRule="exact"/>
        <w:ind w:right="164" w:firstLine="480" w:firstLineChars="200"/>
        <w:jc w:val="both"/>
        <w:rPr>
          <w:rFonts w:ascii="宋体" w:hAnsi="宋体" w:eastAsia="宋体" w:cs="宋体"/>
          <w:spacing w:val="5"/>
          <w:sz w:val="24"/>
          <w:szCs w:val="24"/>
          <w:highlight w:val="none"/>
          <w:lang w:eastAsia="zh-CN"/>
        </w:rPr>
      </w:pPr>
      <w:r>
        <w:rPr>
          <w:rFonts w:hint="eastAsia" w:ascii="宋体" w:hAnsi="宋体" w:eastAsia="宋体" w:cs="宋体"/>
          <w:sz w:val="24"/>
          <w:szCs w:val="24"/>
          <w:highlight w:val="none"/>
          <w:lang w:eastAsia="zh-CN"/>
        </w:rPr>
        <w:t>实验开出符合要求，实验室开放性较好。制定《实验教学管理办法》《关于加强综合性和设计性实验教学的指导意见》等制度，对实验教学各项规范和质量标准均做出明确规定。2024-2025学年，本科生开设实验的专业课程共计538门次，各专业实验开出率均达到规定要求。制定《实验室开放管理办法》,为学生自主实验、自主学习、完成毕业论文（设计）等提供条件支持，鼓励学生利用开放性实验室积极开展科技创新、专业社团、学科竞赛等活动。</w:t>
      </w:r>
    </w:p>
    <w:p w14:paraId="696854A7">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指导人员充足，实验效果良好。重视实验指导队伍建设，现有实验技术人员</w:t>
      </w: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lang w:eastAsia="zh-CN"/>
        </w:rPr>
        <w:t>人。注重实验教学改革，实验效果良好。</w:t>
      </w:r>
    </w:p>
    <w:p w14:paraId="70B0E280">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医学实验实训中心依托医学检验实验省实验教学示范中心的优质资源与建设成果，以教学改革为核心，创新打造线上线下深度融合的现代化实验教学模式。聚焦医学检验专业教学实操痛点，重点发力虚拟仿真实验教学体系建设，通过高仿真的虚拟操作场景与设备模拟系统，打破了传统教学中大型检验设备因造价高昂、操作门槛高、实训机会有限导致的教学壁垒，让学生能够沉浸式、零距离体验各类大型检验设备的标准化检测流程，掌握设备操作、样本处理、结果分析等核心技能，实现了从课堂教学到岗位实操的无缝衔接。</w:t>
      </w:r>
    </w:p>
    <w:p w14:paraId="0763088F">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护理实验实训中心持续升级智慧化实训硬件设施。新增一体化产房特色实训区，迭代升级VR虚拟仿真教学系统，同步完善标准化模拟病房建设，进一步优化“线上线下、虚实结合”的实训教学体系。依托贴合临床真实场景的沉浸式实训环境，助力学生夯实护理实操技能，提升临床应急处置与综合应变能力，切实筑牢人才培养的实践根基。</w:t>
      </w:r>
    </w:p>
    <w:p w14:paraId="2E26B712">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药学实验实训中心集传统技艺传承、前沿科技模拟与真实生产还原于一体，构建起“虚实交融、线上线下协同”的立体化实验教学体系，中药标本馆助力认知，传统实验区锤炼技艺，药理实验室探索作用机理奥秘，制药模拟与 GMP 车间还原药学产业全貌，全方位提升学生专业素养与实践能力。</w:t>
      </w:r>
    </w:p>
    <w:p w14:paraId="7C355E3C">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经济管理实验实训中心构建高度仿真的数字化商业环境，支持学生组建虚拟企业并扮演不同管理角色，沉浸式体验从产品研发、生产营销到财务运营的全流程企业决策。通过动态市场模拟与激烈商战对抗，系统培养学生商业洞察、有效激发创新创业思维，全面提升在复杂市场环境中解决实际问题的综合素养。</w:t>
      </w:r>
    </w:p>
    <w:p w14:paraId="3B7B4B9E">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计算机科学实验实训中心新建前端与移动软件开发、人工智能创新应用两大实验室，深化实验教学改革。教学上以产定教重构课程，推行“分层递进”实训体系，融入岗课赛证要素与真实项目，创新云实一体教学模式。实验效果显著，学生实践与创新能力大幅提升，动手操作、问题解决及团队协作能力增强，实现理论与实践深度融合。</w:t>
      </w:r>
    </w:p>
    <w:p w14:paraId="7C569FBA">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电子信息工程实验实训中心覆盖了电子专业全核心实验模块，配套数字媒体技术特色实验空间，构建电子与数字媒体多方向融合、理实深度结合的实验教学体系，打造专业化、沉浸式实训环境，全面夯实学生专业实操与创新应用能力。</w:t>
      </w:r>
    </w:p>
    <w:p w14:paraId="753A10F3">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汽车工程实验实训中心重点推进智能网联汽车实验教学改革，新建智能网联汽车实验室。依托“车-路-云”一体化平台，构建“虚实联动、实车实训”的实验教学体系，形成了覆盖传统燃油车、新能源车及智能网联汽车的“三位一体”系统化实践教学平台。有力支撑了汽车服务工程与交通运输专业学生掌握全产业链核心技能，为培养适应行业发展的复合型应用人才提供了坚实保障。</w:t>
      </w:r>
    </w:p>
    <w:p w14:paraId="424EEA06">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经过实践应用，教学成效显著，学生的专业实操能力、岗位适应能力得到全方位提升，教学质量与效果获得师生的高度认可和广泛好评，为医学检验专业人才培养奠定了坚实的实践教学基础。为学生实验实训提供了优质环境条件。</w:t>
      </w:r>
    </w:p>
    <w:p w14:paraId="4D5CB7A3">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val="en-US" w:eastAsia="zh-CN"/>
        </w:rPr>
        <w:t>2.</w:t>
      </w:r>
      <w:r>
        <w:rPr>
          <w:rFonts w:hint="eastAsia" w:ascii="黑体" w:hAnsi="黑体" w:eastAsia="黑体" w:cs="黑体"/>
          <w:sz w:val="24"/>
          <w:szCs w:val="24"/>
          <w:highlight w:val="none"/>
          <w:lang w:eastAsia="zh-CN"/>
        </w:rPr>
        <w:t>实习与实训</w:t>
      </w:r>
    </w:p>
    <w:p w14:paraId="4D06E9D5">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加强实习基地建设，满足专业教学需求。制定《校外实践教学基地建设与管理办法》,加强校外实践教学基地建设与管理、与济南市高新区签订合作协议，与山东第一医科大学第一附属医院、山东中医药大学第二附属医院、山东健康集团济南医院、山东天齐置业集团股份有限公司等企事业单位共建校外实践教学基地</w:t>
      </w:r>
      <w:r>
        <w:rPr>
          <w:rFonts w:hint="eastAsia" w:ascii="宋体" w:hAnsi="宋体" w:eastAsia="宋体" w:cs="宋体"/>
          <w:sz w:val="24"/>
          <w:szCs w:val="24"/>
          <w:highlight w:val="none"/>
          <w:lang w:val="en-US" w:eastAsia="zh-CN"/>
        </w:rPr>
        <w:t>151</w:t>
      </w:r>
      <w:r>
        <w:rPr>
          <w:rFonts w:hint="eastAsia" w:ascii="宋体" w:hAnsi="宋体" w:eastAsia="宋体" w:cs="宋体"/>
          <w:sz w:val="24"/>
          <w:szCs w:val="24"/>
          <w:highlight w:val="none"/>
          <w:lang w:eastAsia="zh-CN"/>
        </w:rPr>
        <w:t>个，所有本科专业均建有稳定的校外实践教学基地，能够满足各专业学生进行见习、实习、实训等需要。</w:t>
      </w:r>
    </w:p>
    <w:p w14:paraId="452D85ED">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完善实习教学管理制度，时间和经费有保证。完善了《学生毕业实习经费管理办法（试行）》《学生专业见习管理办法（试行）》等制度，规范了学生实习报告撰写及批阅标准，强化了实习实训各个环节的监控与管理，设立专项经费支持学生实习实训。设置独立实践、课内实践和毕业实习等课程和环节，保障了学生实习实训时间。202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年度，本科实习经费</w:t>
      </w:r>
      <w:r>
        <w:rPr>
          <w:rFonts w:hint="eastAsia" w:ascii="宋体" w:hAnsi="宋体" w:eastAsia="宋体" w:cs="宋体"/>
          <w:sz w:val="24"/>
          <w:szCs w:val="24"/>
          <w:highlight w:val="none"/>
          <w:lang w:val="en-US" w:eastAsia="zh-CN"/>
        </w:rPr>
        <w:t>201</w:t>
      </w:r>
      <w:r>
        <w:rPr>
          <w:rFonts w:hint="eastAsia" w:ascii="宋体" w:hAnsi="宋体" w:eastAsia="宋体" w:cs="宋体"/>
          <w:sz w:val="24"/>
          <w:szCs w:val="24"/>
          <w:highlight w:val="none"/>
          <w:lang w:eastAsia="zh-CN"/>
        </w:rPr>
        <w:t>万元。</w:t>
      </w:r>
    </w:p>
    <w:p w14:paraId="0186B314">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实习实训指导到位，考核效果良好。推行实习教学“双导师制”,从企业选聘一批实践经验丰富、工作业绩突出的技术骨干作为指导教师，校企共同商定实习实训计划，共同指导考核学生。教师严格批阅学生实习报告。搭建“校友邦”实习工作管理平台，推进实习教学信息化管理，强化过程监控，保证实习效果。</w:t>
      </w:r>
    </w:p>
    <w:bookmarkEnd w:id="33"/>
    <w:bookmarkEnd w:id="34"/>
    <w:p w14:paraId="34FAEB32">
      <w:pPr>
        <w:spacing w:before="120" w:beforeLines="50" w:after="120" w:afterLines="50"/>
        <w:jc w:val="both"/>
        <w:outlineLvl w:val="2"/>
        <w:rPr>
          <w:rFonts w:hint="eastAsia" w:ascii="黑体" w:hAnsi="黑体" w:eastAsia="黑体" w:cs="黑体"/>
          <w:sz w:val="24"/>
          <w:szCs w:val="24"/>
          <w:highlight w:val="none"/>
          <w:lang w:eastAsia="zh-CN"/>
        </w:rPr>
      </w:pPr>
      <w:bookmarkStart w:id="38" w:name="_Toc12757"/>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六</w:t>
      </w:r>
      <w:r>
        <w:rPr>
          <w:rFonts w:hint="eastAsia" w:ascii="黑体" w:hAnsi="黑体" w:eastAsia="黑体" w:cs="黑体"/>
          <w:sz w:val="24"/>
          <w:szCs w:val="24"/>
          <w:highlight w:val="none"/>
          <w:lang w:eastAsia="zh-CN"/>
        </w:rPr>
        <w:t>）毕业论文（设计）</w:t>
      </w:r>
    </w:p>
    <w:p w14:paraId="53353DEC">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选题要求结合实践，毕业设计真题真做。制定《毕业论文（设计）工作管理规定》《毕业论文（设计）撰写规范》，选题符合专业培养目标和教学基本要求，体现系统性和综合性训练，把一人一题作为选题的基本要求，难度适当、份量合理、真题真做。2025届毕业生在实验实训、实习和社会调查等社会实践中完成的毕业论文（设计）比例为100%。</w:t>
      </w:r>
    </w:p>
    <w:p w14:paraId="3F606C27">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强化论文过程管理，严把诚信和质量关。完善毕业论文（设计）质量标准，规范工作流程，对选题、开题、指导、中期检查、答辩、抽检等环节进行全过程跟踪式管理，确保毕业论文（设计）质量。通过第三方论文查重系统对所有论文进行查重检测，2025届毕业生论文初次查重通过率为</w:t>
      </w:r>
      <w:r>
        <w:rPr>
          <w:rFonts w:hint="eastAsia" w:ascii="宋体" w:hAnsi="宋体" w:eastAsia="宋体" w:cs="宋体"/>
          <w:sz w:val="24"/>
          <w:szCs w:val="24"/>
          <w:highlight w:val="none"/>
          <w:lang w:val="en-US" w:eastAsia="zh-CN"/>
        </w:rPr>
        <w:t>93.8</w:t>
      </w:r>
      <w:r>
        <w:rPr>
          <w:rFonts w:hint="eastAsia" w:ascii="宋体" w:hAnsi="宋体" w:eastAsia="宋体" w:cs="宋体"/>
          <w:sz w:val="24"/>
          <w:szCs w:val="24"/>
          <w:highlight w:val="none"/>
          <w:lang w:eastAsia="zh-CN"/>
        </w:rPr>
        <w:t>%。聘请资深教授、企业专家作为答辩组成员，严控答辩质量。2025届毕业论文（设计）共有指导教师437名，每人平均指导学生5.68人，论文整体质量有较大提高。</w:t>
      </w:r>
    </w:p>
    <w:p w14:paraId="4E8ECBB9">
      <w:pPr>
        <w:spacing w:before="120" w:beforeLines="50" w:after="120" w:afterLines="50"/>
        <w:jc w:val="both"/>
        <w:outlineLvl w:val="2"/>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七</w:t>
      </w:r>
      <w:r>
        <w:rPr>
          <w:rFonts w:hint="eastAsia" w:ascii="黑体" w:hAnsi="黑体" w:eastAsia="黑体" w:cs="黑体"/>
          <w:sz w:val="24"/>
          <w:szCs w:val="24"/>
          <w:highlight w:val="none"/>
          <w:lang w:eastAsia="zh-CN"/>
        </w:rPr>
        <w:t>）基层教学组织建设情况</w:t>
      </w:r>
    </w:p>
    <w:p w14:paraId="60372CED">
      <w:pPr>
        <w:spacing w:line="400" w:lineRule="exact"/>
        <w:ind w:firstLine="480" w:firstLineChars="20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学校共有基层教学组织56个，涵盖多个学科领域。其中，学院/系教研室（中心）类型的基层教学组织有46个，占比82.14%；实验教学中心类型的基层教学组织有10个，占比17.86%。</w:t>
      </w:r>
    </w:p>
    <w:p w14:paraId="140F2364">
      <w:pPr>
        <w:spacing w:line="400" w:lineRule="exact"/>
        <w:ind w:firstLine="480" w:firstLineChars="20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近年来，随着学科发展和新增专业需求，基层教学组织建设持续推进。2023年新增：基础护理教研室、习近平新时代中国特色社会主义思想教研室、土木工程实验实训中心、美术与设计实验实训中心；2025年新增：口腔医学教研室、药剂学教研室、药物分析教研室。</w:t>
      </w:r>
    </w:p>
    <w:p w14:paraId="5BF977E8">
      <w:pPr>
        <w:spacing w:line="400" w:lineRule="exact"/>
        <w:ind w:firstLine="480" w:firstLineChars="20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从学科分布来看，医学类基层教学组织数量最多，共15个，占比26.79%；理学类8个，占比14.29%；工学类7个，占比12.50%；教育学类6个，占比10.71%；管理学类5个，占比8.93%；文学类和艺术学类各4个，分别占比7.14%；马克思主义与思想政治类3个，占比5.36%；体育类1个，占比1.79%。</w:t>
      </w:r>
    </w:p>
    <w:p w14:paraId="443CEA90">
      <w:pPr>
        <w:spacing w:line="400" w:lineRule="exact"/>
        <w:ind w:firstLine="480" w:firstLineChars="200"/>
        <w:jc w:val="both"/>
        <w:rPr>
          <w:rFonts w:hint="eastAsia" w:ascii="黑体" w:hAnsi="黑体" w:eastAsia="黑体" w:cs="黑体"/>
          <w:sz w:val="28"/>
          <w:szCs w:val="28"/>
          <w:highlight w:val="none"/>
          <w:lang w:val="en-US" w:eastAsia="zh-CN"/>
        </w:rPr>
      </w:pPr>
      <w:r>
        <w:rPr>
          <w:rFonts w:hint="eastAsia" w:ascii="宋体" w:hAnsi="宋体" w:eastAsia="宋体" w:cs="宋体"/>
          <w:sz w:val="24"/>
          <w:szCs w:val="24"/>
          <w:highlight w:val="none"/>
          <w:lang w:val="en-US" w:eastAsia="zh-CN"/>
        </w:rPr>
        <w:t>数据表明，我校在基层教学组织建设中坚持学科均衡发展，同时突出医学等优势学科的重点建设。</w:t>
      </w:r>
    </w:p>
    <w:p w14:paraId="4B987F3F">
      <w:pPr>
        <w:adjustRightInd/>
        <w:snapToGrid/>
        <w:spacing w:before="120" w:beforeLines="50" w:after="120" w:afterLines="50"/>
        <w:jc w:val="both"/>
        <w:outlineLvl w:val="1"/>
        <w:rPr>
          <w:rFonts w:ascii="黑体" w:hAnsi="黑体" w:eastAsia="黑体" w:cs="黑体"/>
          <w:sz w:val="28"/>
          <w:szCs w:val="28"/>
          <w:highlight w:val="none"/>
          <w:lang w:eastAsia="zh-CN"/>
        </w:rPr>
      </w:pPr>
      <w:bookmarkStart w:id="39" w:name="_Toc27207"/>
      <w:r>
        <w:rPr>
          <w:rFonts w:hint="eastAsia" w:ascii="黑体" w:hAnsi="黑体" w:eastAsia="黑体" w:cs="黑体"/>
          <w:sz w:val="28"/>
          <w:szCs w:val="28"/>
          <w:highlight w:val="none"/>
          <w:lang w:val="en-US" w:eastAsia="zh-CN"/>
        </w:rPr>
        <w:t>二、学生</w:t>
      </w:r>
      <w:r>
        <w:rPr>
          <w:rFonts w:hint="eastAsia" w:ascii="黑体" w:hAnsi="黑体" w:eastAsia="黑体" w:cs="黑体"/>
          <w:sz w:val="28"/>
          <w:szCs w:val="28"/>
          <w:highlight w:val="none"/>
          <w:lang w:eastAsia="zh-CN"/>
        </w:rPr>
        <w:t>创新创业教育</w:t>
      </w:r>
      <w:bookmarkEnd w:id="38"/>
      <w:bookmarkEnd w:id="39"/>
    </w:p>
    <w:p w14:paraId="2784B9F1">
      <w:pPr>
        <w:spacing w:line="400" w:lineRule="exact"/>
        <w:ind w:firstLine="480" w:firstLineChars="200"/>
        <w:jc w:val="both"/>
        <w:rPr>
          <w:rFonts w:hint="eastAsia" w:ascii="宋体" w:hAnsi="宋体" w:eastAsia="宋体" w:cs="宋体"/>
          <w:sz w:val="24"/>
          <w:szCs w:val="24"/>
          <w:highlight w:val="none"/>
          <w:lang w:eastAsia="zh-CN"/>
        </w:rPr>
      </w:pPr>
      <w:bookmarkStart w:id="40" w:name="bookmark36"/>
      <w:bookmarkEnd w:id="40"/>
      <w:bookmarkStart w:id="41" w:name="bookmark35"/>
      <w:bookmarkEnd w:id="41"/>
      <w:bookmarkStart w:id="42" w:name="_Toc4897"/>
      <w:bookmarkStart w:id="43" w:name="_Toc24716"/>
      <w:bookmarkStart w:id="44" w:name="_Toc3737"/>
      <w:r>
        <w:rPr>
          <w:rFonts w:hint="eastAsia" w:ascii="宋体" w:hAnsi="宋体" w:eastAsia="宋体" w:cs="宋体"/>
          <w:sz w:val="24"/>
          <w:szCs w:val="24"/>
          <w:highlight w:val="none"/>
          <w:lang w:eastAsia="zh-CN"/>
        </w:rPr>
        <w:t>学校深入学习贯彻习近平总书记关于教育的重要论述，坚持立德树人根本任务，持续完善创新创业教育体系，推动创新创业教育与人才培养、专业教育深度融合，以培养具备创新精神、创业意识和创业能力的高素质人才为核心，强化组织领导、深化专创融合、发挥专业优势、坚持以赛促创，聚焦现有问题，努力培养更多富有创新精神、勇于投身实践的创新创业人才。</w:t>
      </w:r>
    </w:p>
    <w:p w14:paraId="4BDFEA22">
      <w:pPr>
        <w:spacing w:line="400" w:lineRule="exact"/>
        <w:ind w:firstLine="480" w:firstLineChars="200"/>
        <w:jc w:val="both"/>
        <w:rPr>
          <w:highlight w:val="none"/>
        </w:rPr>
      </w:pPr>
      <w:r>
        <w:rPr>
          <w:rFonts w:hint="eastAsia" w:ascii="宋体" w:hAnsi="宋体" w:eastAsia="宋体" w:cs="宋体"/>
          <w:sz w:val="24"/>
          <w:szCs w:val="24"/>
          <w:highlight w:val="none"/>
          <w:lang w:eastAsia="zh-CN"/>
        </w:rPr>
        <w:t>将创新创业教育贯穿人才培养全过程，根据学校《关于进一步加强创新创业教育的意见》要求，将创新精神、创业意识和创新创业能力纳入人才培养质量标准。人才培养方案中创新创业教育设5学分，其中通识理论必修课3学分，包括创新创业基础、大学生职业发展规划。创新创业实践2学分。</w:t>
      </w:r>
    </w:p>
    <w:p w14:paraId="4D42757C">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重学生创新创业能力培养，组织实施创新项目，为学生提供多元化的创新创业实践资源，设置创业训练和实践项目，着力培养学生创新创业素养，在实践中增长智慧才干。学校“以赛促教”“以赛促学”不断强化学生的创新创业思维能力，同时提升团队的凝聚力。组织学生参加全国普通高校学科竞赛排行榜榜单相关竞赛项目和山东省大学生科技节系列竞赛项目等，在“全国商业精英挑战赛”、“全国企业竞争模拟大赛”、“蓝桥杯全国软件和信息技术专业人才大赛”、“全国高校BIM毕业设计创新大赛”、“中国好创意暨全国数字艺术设计大赛”、等相关创新创业的赛事，均取得了较好的成绩。其中，获2024年全国高校商业精英挑战赛全国总决赛一等奖1项、二等奖5项；2025年全国企业竞争模拟大赛全国总决赛三等奖4项；第十六届蓝桥杯全国软件和信息技术专业人才大赛全国总决赛一等奖1项、二等奖2项、三等奖1项；全国高校BIM毕业设计创新大赛全国总决赛一等奖1项、三等奖2项；中国好创意暨全国数字艺术设计大赛全国总决赛一等奖2项、二等奖2项、三等奖1项。</w:t>
      </w:r>
    </w:p>
    <w:p w14:paraId="731DD992">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2025年，我校大力推动学生创新创业实践，选派500余名学生参加“中国国际大学生创新大赛”，并申报</w:t>
      </w:r>
      <w:r>
        <w:rPr>
          <w:rFonts w:hint="eastAsia" w:ascii="宋体" w:hAnsi="宋体" w:eastAsia="宋体" w:cs="宋体"/>
          <w:sz w:val="24"/>
          <w:szCs w:val="24"/>
          <w:highlight w:val="none"/>
          <w:lang w:eastAsia="zh-CN"/>
        </w:rPr>
        <w:t>2项国家级大创项目训练计划；在“发明杯”创新大赛中，遴选130项作品参赛，其中2项荣获三等奖；成功举办年度创新创业活动月，吸引学生提交作品超5000项，极大激发了创新热情，学生实践能力获得有效提升。</w:t>
      </w:r>
    </w:p>
    <w:bookmarkEnd w:id="42"/>
    <w:bookmarkEnd w:id="43"/>
    <w:bookmarkEnd w:id="44"/>
    <w:p w14:paraId="0A48AFB8">
      <w:pPr>
        <w:spacing w:line="400" w:lineRule="exact"/>
        <w:ind w:firstLine="723" w:firstLineChars="200"/>
        <w:jc w:val="both"/>
        <w:rPr>
          <w:rFonts w:ascii="Times New Roman" w:hAnsi="Times New Roman" w:eastAsia="黑体" w:cs="Times New Roman"/>
          <w:b/>
          <w:kern w:val="44"/>
          <w:sz w:val="36"/>
          <w:szCs w:val="36"/>
          <w:highlight w:val="none"/>
          <w:lang w:eastAsia="zh-CN"/>
        </w:rPr>
      </w:pPr>
      <w:r>
        <w:rPr>
          <w:rFonts w:hint="eastAsia" w:ascii="Times New Roman" w:hAnsi="Times New Roman" w:eastAsia="黑体" w:cs="Times New Roman"/>
          <w:b/>
          <w:kern w:val="44"/>
          <w:sz w:val="36"/>
          <w:szCs w:val="36"/>
          <w:highlight w:val="none"/>
          <w:lang w:eastAsia="zh-CN"/>
        </w:rPr>
        <w:br w:type="page"/>
      </w:r>
    </w:p>
    <w:p w14:paraId="7E4E062B">
      <w:pPr>
        <w:keepNext w:val="0"/>
        <w:keepLines w:val="0"/>
        <w:pageBreakBefore w:val="0"/>
        <w:widowControl/>
        <w:kinsoku w:val="0"/>
        <w:wordWrap/>
        <w:overflowPunct/>
        <w:topLinePunct w:val="0"/>
        <w:autoSpaceDE w:val="0"/>
        <w:autoSpaceDN w:val="0"/>
        <w:bidi w:val="0"/>
        <w:adjustRightInd w:val="0"/>
        <w:snapToGrid w:val="0"/>
        <w:textAlignment w:val="baseline"/>
        <w:outlineLvl w:val="0"/>
        <w:rPr>
          <w:rFonts w:hint="eastAsia" w:ascii="黑体" w:hAnsi="黑体" w:eastAsia="黑体" w:cs="黑体"/>
          <w:sz w:val="30"/>
          <w:szCs w:val="30"/>
          <w:highlight w:val="none"/>
          <w:lang w:eastAsia="zh-CN"/>
        </w:rPr>
      </w:pPr>
      <w:bookmarkStart w:id="45" w:name="_Toc26306"/>
      <w:r>
        <w:rPr>
          <w:rFonts w:hint="eastAsia" w:ascii="黑体" w:hAnsi="黑体" w:eastAsia="黑体" w:cs="黑体"/>
          <w:sz w:val="30"/>
          <w:szCs w:val="30"/>
          <w:highlight w:val="none"/>
          <w:lang w:val="en-US" w:eastAsia="zh-CN"/>
        </w:rPr>
        <w:t>第四部分 专业培养能力</w:t>
      </w:r>
      <w:bookmarkEnd w:id="45"/>
    </w:p>
    <w:p w14:paraId="2733612C">
      <w:pPr>
        <w:adjustRightInd/>
        <w:snapToGrid/>
        <w:spacing w:before="120" w:beforeLines="50" w:after="120" w:afterLines="50"/>
        <w:jc w:val="both"/>
        <w:outlineLvl w:val="1"/>
        <w:rPr>
          <w:rFonts w:hint="eastAsia" w:ascii="黑体" w:hAnsi="黑体" w:eastAsia="黑体" w:cs="黑体"/>
          <w:sz w:val="28"/>
          <w:szCs w:val="28"/>
          <w:highlight w:val="none"/>
          <w:lang w:val="en-US" w:eastAsia="zh-CN"/>
        </w:rPr>
      </w:pPr>
      <w:bookmarkStart w:id="46" w:name="_Toc10967"/>
      <w:bookmarkStart w:id="47" w:name="_Toc21505"/>
      <w:bookmarkStart w:id="48" w:name="_Toc31627"/>
      <w:r>
        <w:rPr>
          <w:rFonts w:hint="eastAsia" w:ascii="黑体" w:hAnsi="黑体" w:eastAsia="黑体" w:cs="黑体"/>
          <w:sz w:val="28"/>
          <w:szCs w:val="28"/>
          <w:highlight w:val="none"/>
          <w:lang w:val="en-US" w:eastAsia="zh-CN"/>
        </w:rPr>
        <w:t>一、专业的培养目标</w:t>
      </w:r>
      <w:bookmarkEnd w:id="46"/>
      <w:bookmarkEnd w:id="47"/>
      <w:bookmarkEnd w:id="48"/>
    </w:p>
    <w:p w14:paraId="32EC10E2">
      <w:pPr>
        <w:spacing w:line="400" w:lineRule="exact"/>
        <w:ind w:firstLine="480" w:firstLineChars="200"/>
        <w:jc w:val="both"/>
        <w:rPr>
          <w:rFonts w:ascii="宋体" w:hAnsi="宋体" w:eastAsia="宋体" w:cs="宋体"/>
          <w:sz w:val="24"/>
          <w:szCs w:val="24"/>
          <w:highlight w:val="none"/>
          <w:lang w:eastAsia="zh-CN"/>
        </w:rPr>
      </w:pPr>
      <w:bookmarkStart w:id="49" w:name="_Toc5918"/>
      <w:bookmarkStart w:id="50" w:name="_Toc7872"/>
      <w:r>
        <w:rPr>
          <w:rFonts w:ascii="宋体" w:hAnsi="宋体" w:eastAsia="宋体" w:cs="宋体"/>
          <w:sz w:val="24"/>
          <w:szCs w:val="24"/>
          <w:highlight w:val="none"/>
          <w:lang w:eastAsia="zh-CN"/>
        </w:rPr>
        <w:t>培养理想信念坚定，社会责任感强，基础理论扎实，具有现代精神、创新精神和实践能力的高素质应用型人才。</w:t>
      </w:r>
    </w:p>
    <w:p w14:paraId="20EC3541">
      <w:pPr>
        <w:adjustRightInd/>
        <w:snapToGrid/>
        <w:spacing w:before="120" w:beforeLines="50" w:after="120" w:afterLines="50"/>
        <w:jc w:val="both"/>
        <w:outlineLvl w:val="1"/>
        <w:rPr>
          <w:rFonts w:hint="default" w:ascii="黑体" w:hAnsi="黑体" w:eastAsia="黑体" w:cs="黑体"/>
          <w:sz w:val="28"/>
          <w:szCs w:val="28"/>
          <w:highlight w:val="none"/>
          <w:lang w:val="en-US" w:eastAsia="zh-CN"/>
        </w:rPr>
      </w:pPr>
      <w:bookmarkStart w:id="51" w:name="_Toc17015"/>
      <w:r>
        <w:rPr>
          <w:rFonts w:hint="eastAsia" w:ascii="黑体" w:hAnsi="黑体" w:eastAsia="黑体" w:cs="黑体"/>
          <w:sz w:val="28"/>
          <w:szCs w:val="28"/>
          <w:highlight w:val="none"/>
          <w:lang w:val="en-US" w:eastAsia="zh-CN"/>
        </w:rPr>
        <w:t>二、专业人才培养方案</w:t>
      </w:r>
      <w:bookmarkEnd w:id="51"/>
    </w:p>
    <w:p w14:paraId="0B12B8EA">
      <w:pPr>
        <w:kinsoku/>
        <w:autoSpaceDE/>
        <w:autoSpaceDN/>
        <w:adjustRightInd/>
        <w:snapToGrid/>
        <w:spacing w:line="400" w:lineRule="exact"/>
        <w:jc w:val="left"/>
        <w:textAlignment w:val="auto"/>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一</w:t>
      </w:r>
      <w:r>
        <w:rPr>
          <w:rFonts w:hint="eastAsia" w:ascii="黑体" w:hAnsi="黑体" w:eastAsia="黑体" w:cs="黑体"/>
          <w:sz w:val="24"/>
          <w:szCs w:val="24"/>
          <w:highlight w:val="none"/>
          <w:lang w:eastAsia="zh-CN"/>
        </w:rPr>
        <w:t>）专业的人才培养</w:t>
      </w:r>
    </w:p>
    <w:p w14:paraId="1F9F3AD2">
      <w:pPr>
        <w:kinsoku/>
        <w:autoSpaceDE/>
        <w:autoSpaceDN/>
        <w:adjustRightInd/>
        <w:snapToGrid/>
        <w:spacing w:line="400" w:lineRule="exact"/>
        <w:ind w:firstLine="480" w:firstLineChars="200"/>
        <w:jc w:val="both"/>
        <w:textAlignment w:val="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各专业人才培养方案坚持“立德树人，五育并举”“落实质量标准，突出成果导向”“深化产教融合，提升协同育人能力”“融入创新创业教育，提高学生双创能力”“坚持因材施教，鼓励个性发展”等原则，贯彻落实中共中央办公厅、国务院办公厅和教育部关于思政课、课程思政、体育、美育、劳动教育的文件精神。人才培养方案具有以下特点：一是进一步凸显德育为先、五育并举的理念，突出德育实效、提升智育水平、强化体育锻炼、增强美育熏陶、加强劳动教育，构建德智体美劳全面发展的教育体系。二是以专业类教学质量国家标准、专业认证标准为依据，对照新工科、新医科、新文科建设要求全面审视各专业课程体系，设置培养目标和毕业要求，建立课程体系与毕业要求和培养目标的支撑和映射关系，切实将“学生中心、产出导向、持续改进”的理念融入人才培养方案的制定过程中。三是注重产教融合，吸收企业行业专家参与人才培养方案的制定与论证，努力做到培养规格与行业需求对接、专业教育与职业岗位对接、课程内容与职业标准对接、教学过程与生产过程对接、学历证书与职业资格证书对接，强化专业实践能力、职业能力的培养。四是强化实践教学，充分体现教育教学过程“知行合一”的实践性。增加实践教学学分，8个人文社科类专业实践学分比例平均为45.29%，17个理工农医类专业实践学分比例平均为37.20%。五是注重学生创新思维和创业意识与能力的培养，将创新创业教育目标要求纳入毕业要求。建立创新创业学分积累与转换制度，把创新创业教育实践活动整合纳入人才培养体系。六是注重文化育人，将专业育人与文化育人融为一体，提高应用型人才培养目标的达成度。</w:t>
      </w:r>
    </w:p>
    <w:p w14:paraId="16704F1E">
      <w:pPr>
        <w:kinsoku/>
        <w:autoSpaceDE/>
        <w:autoSpaceDN/>
        <w:adjustRightInd/>
        <w:snapToGrid/>
        <w:spacing w:line="400" w:lineRule="exact"/>
        <w:jc w:val="left"/>
        <w:textAlignment w:val="auto"/>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二</w:t>
      </w:r>
      <w:r>
        <w:rPr>
          <w:rFonts w:hint="eastAsia" w:ascii="黑体" w:hAnsi="黑体" w:eastAsia="黑体" w:cs="黑体"/>
          <w:sz w:val="24"/>
          <w:szCs w:val="24"/>
          <w:highlight w:val="none"/>
          <w:lang w:eastAsia="zh-CN"/>
        </w:rPr>
        <w:t>）规范人才培养方案执行与管理</w:t>
      </w:r>
    </w:p>
    <w:p w14:paraId="31EDC7D7">
      <w:pPr>
        <w:kinsoku/>
        <w:autoSpaceDE/>
        <w:autoSpaceDN/>
        <w:adjustRightInd/>
        <w:snapToGrid/>
        <w:spacing w:line="400" w:lineRule="exact"/>
        <w:ind w:firstLine="480" w:firstLineChars="200"/>
        <w:jc w:val="both"/>
        <w:textAlignment w:val="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进一步完善《本科专业人才培养方案管理办法》，对人才培养方案的修订、管理与实施、调整与变更等环节均提出了明确要求，保证培养方案各环节的落实。严格执行人才培养方案计划调整的校院两级审批制度，按规定程序进行审批，对于因特殊原因需要调整教学计划时，审批通过后方可执行。加大对人才培养方案、教学大纲、教学进度的执行情况的检查和监督力度，二级学院严格落实培养方案，保证培养方案执行到位，确保做到开课有计划、调整有论证、过程有监控、落实有保障。人才培养方案总体执行情况良好。</w:t>
      </w:r>
    </w:p>
    <w:p w14:paraId="5F32A301">
      <w:pPr>
        <w:spacing w:before="120" w:beforeLines="50" w:after="120" w:afterLines="50"/>
        <w:jc w:val="both"/>
        <w:outlineLvl w:val="1"/>
        <w:rPr>
          <w:rFonts w:ascii="黑体" w:hAnsi="黑体" w:eastAsia="黑体" w:cs="黑体"/>
          <w:sz w:val="24"/>
          <w:szCs w:val="24"/>
          <w:highlight w:val="none"/>
          <w:lang w:eastAsia="zh-CN"/>
        </w:rPr>
      </w:pPr>
      <w:bookmarkStart w:id="52" w:name="_Toc12814"/>
      <w:r>
        <w:rPr>
          <w:rFonts w:hint="eastAsia" w:ascii="黑体" w:hAnsi="黑体" w:eastAsia="黑体" w:cs="黑体"/>
          <w:sz w:val="28"/>
          <w:szCs w:val="28"/>
          <w:highlight w:val="none"/>
          <w:lang w:val="en-US" w:eastAsia="zh-CN"/>
        </w:rPr>
        <w:t>三</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专业教学条件建设</w:t>
      </w:r>
      <w:bookmarkEnd w:id="52"/>
    </w:p>
    <w:p w14:paraId="2BBA44B9">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一</w:t>
      </w:r>
      <w:r>
        <w:rPr>
          <w:rFonts w:hint="eastAsia" w:ascii="黑体" w:hAnsi="黑体" w:eastAsia="黑体" w:cs="黑体"/>
          <w:sz w:val="24"/>
          <w:szCs w:val="24"/>
          <w:highlight w:val="none"/>
          <w:lang w:eastAsia="zh-CN"/>
        </w:rPr>
        <w:t>）专任教师数量和结构、</w:t>
      </w:r>
      <w:r>
        <w:rPr>
          <w:rFonts w:hint="eastAsia" w:ascii="黑体" w:hAnsi="黑体" w:eastAsia="黑体" w:cs="黑体"/>
          <w:sz w:val="24"/>
          <w:szCs w:val="24"/>
          <w:highlight w:val="none"/>
          <w:lang w:val="en-US" w:eastAsia="zh-CN"/>
        </w:rPr>
        <w:t>生师比</w:t>
      </w:r>
    </w:p>
    <w:p w14:paraId="39BFBDFB">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学校加大人才引进和培养工作力度，围绕专业核心课程群，以教学名师和学术带头人为骨干，健全中青年教师培训机制，建设一支热爱本科教学、改革意识强、结构合理、教学和科研综合水平高的专任教师队伍。</w:t>
      </w:r>
      <w:r>
        <w:rPr>
          <w:rFonts w:hint="eastAsia" w:ascii="宋体" w:hAnsi="宋体" w:eastAsia="宋体" w:cs="宋体"/>
          <w:color w:val="auto"/>
          <w:spacing w:val="-4"/>
          <w:sz w:val="24"/>
          <w:szCs w:val="24"/>
          <w:highlight w:val="none"/>
          <w:lang w:eastAsia="zh-CN"/>
        </w:rPr>
        <w:t>现有教职工</w:t>
      </w:r>
      <w:r>
        <w:rPr>
          <w:rFonts w:hint="eastAsia" w:ascii="宋体" w:hAnsi="宋体" w:eastAsia="宋体" w:cs="宋体"/>
          <w:strike w:val="0"/>
          <w:dstrike w:val="0"/>
          <w:color w:val="auto"/>
          <w:spacing w:val="-4"/>
          <w:sz w:val="24"/>
          <w:szCs w:val="24"/>
          <w:highlight w:val="none"/>
          <w:lang w:val="en-US" w:eastAsia="zh-CN"/>
        </w:rPr>
        <w:t>1006</w:t>
      </w:r>
      <w:r>
        <w:rPr>
          <w:rFonts w:hint="eastAsia" w:ascii="宋体" w:hAnsi="宋体" w:eastAsia="宋体" w:cs="宋体"/>
          <w:color w:val="auto"/>
          <w:spacing w:val="-4"/>
          <w:sz w:val="24"/>
          <w:szCs w:val="24"/>
          <w:highlight w:val="none"/>
          <w:lang w:eastAsia="zh-CN"/>
        </w:rPr>
        <w:t>人，其中自有专任教师</w:t>
      </w:r>
      <w:r>
        <w:rPr>
          <w:rFonts w:hint="eastAsia" w:ascii="宋体" w:hAnsi="宋体" w:eastAsia="宋体" w:cs="宋体"/>
          <w:color w:val="auto"/>
          <w:spacing w:val="-4"/>
          <w:sz w:val="24"/>
          <w:szCs w:val="24"/>
          <w:highlight w:val="none"/>
          <w:lang w:val="en-US" w:eastAsia="zh-CN"/>
        </w:rPr>
        <w:t>779</w:t>
      </w:r>
      <w:r>
        <w:rPr>
          <w:rFonts w:hint="eastAsia" w:ascii="宋体" w:hAnsi="宋体" w:eastAsia="宋体" w:cs="宋体"/>
          <w:color w:val="auto"/>
          <w:spacing w:val="-4"/>
          <w:sz w:val="24"/>
          <w:szCs w:val="24"/>
          <w:highlight w:val="none"/>
          <w:lang w:eastAsia="zh-CN"/>
        </w:rPr>
        <w:t>人，外聘教师</w:t>
      </w:r>
      <w:r>
        <w:rPr>
          <w:rFonts w:hint="eastAsia" w:ascii="宋体" w:hAnsi="宋体" w:eastAsia="宋体" w:cs="宋体"/>
          <w:color w:val="auto"/>
          <w:spacing w:val="-4"/>
          <w:sz w:val="24"/>
          <w:szCs w:val="24"/>
          <w:highlight w:val="none"/>
          <w:lang w:val="en-US" w:eastAsia="zh-CN"/>
        </w:rPr>
        <w:t>179人，折合89.5人</w:t>
      </w:r>
      <w:r>
        <w:rPr>
          <w:rFonts w:hint="eastAsia" w:ascii="宋体" w:hAnsi="宋体" w:eastAsia="宋体" w:cs="宋体"/>
          <w:color w:val="auto"/>
          <w:spacing w:val="-4"/>
          <w:sz w:val="24"/>
          <w:szCs w:val="24"/>
          <w:highlight w:val="none"/>
          <w:lang w:eastAsia="zh-CN"/>
        </w:rPr>
        <w:t>，在校生</w:t>
      </w:r>
      <w:r>
        <w:rPr>
          <w:rFonts w:hint="eastAsia" w:ascii="宋体" w:hAnsi="宋体" w:eastAsia="宋体" w:cs="宋体"/>
          <w:color w:val="auto"/>
          <w:spacing w:val="-4"/>
          <w:sz w:val="24"/>
          <w:szCs w:val="24"/>
          <w:highlight w:val="none"/>
          <w:lang w:val="en-US" w:eastAsia="zh-CN"/>
        </w:rPr>
        <w:t>15290人</w:t>
      </w:r>
      <w:r>
        <w:rPr>
          <w:rFonts w:hint="eastAsia" w:ascii="宋体" w:hAnsi="宋体" w:eastAsia="宋体" w:cs="宋体"/>
          <w:color w:val="auto"/>
          <w:spacing w:val="-4"/>
          <w:sz w:val="24"/>
          <w:szCs w:val="24"/>
          <w:highlight w:val="none"/>
          <w:lang w:eastAsia="zh-CN"/>
        </w:rPr>
        <w:t>，生师比为</w:t>
      </w:r>
      <w:r>
        <w:rPr>
          <w:rFonts w:hint="eastAsia" w:ascii="宋体" w:hAnsi="宋体" w:eastAsia="宋体" w:cs="宋体"/>
          <w:color w:val="auto"/>
          <w:spacing w:val="-4"/>
          <w:sz w:val="24"/>
          <w:szCs w:val="24"/>
          <w:highlight w:val="none"/>
          <w:lang w:val="en-US" w:eastAsia="zh-CN"/>
        </w:rPr>
        <w:t>17.61</w:t>
      </w:r>
      <w:r>
        <w:rPr>
          <w:rFonts w:hint="eastAsia" w:ascii="宋体" w:hAnsi="宋体" w:eastAsia="宋体" w:cs="宋体"/>
          <w:color w:val="auto"/>
          <w:spacing w:val="-4"/>
          <w:sz w:val="24"/>
          <w:szCs w:val="24"/>
          <w:highlight w:val="none"/>
          <w:lang w:eastAsia="zh-CN"/>
        </w:rPr>
        <w:t>:1。</w:t>
      </w:r>
      <w:r>
        <w:rPr>
          <w:rFonts w:hint="eastAsia" w:asciiTheme="minorEastAsia" w:hAnsiTheme="minorEastAsia" w:eastAsiaTheme="minorEastAsia" w:cstheme="minorEastAsia"/>
          <w:color w:val="auto"/>
          <w:sz w:val="24"/>
          <w:szCs w:val="24"/>
          <w:highlight w:val="none"/>
          <w:lang w:val="en-US" w:eastAsia="zh-CN"/>
        </w:rPr>
        <w:t>专任教师中，“双师型”教师43人，占专任教师的比例为5.52%；具有高级职称的专任教师62人，占专任教师的比例为7.96%；具有研究生学位（硕士和博士）的专任教师694人，占专任教师的比例为89.09%。</w:t>
      </w:r>
      <w:r>
        <w:rPr>
          <w:rFonts w:hint="eastAsia" w:ascii="宋体" w:hAnsi="宋体" w:eastAsia="宋体" w:cs="宋体"/>
          <w:sz w:val="24"/>
          <w:szCs w:val="24"/>
          <w:highlight w:val="none"/>
          <w:lang w:eastAsia="zh-CN"/>
        </w:rPr>
        <w:t>专任教师师资队伍职称、学位、年龄、专业、学缘等整体结构逐步优化，能较好满足专业人才培养和专业发展需要。</w:t>
      </w:r>
    </w:p>
    <w:p w14:paraId="647936F9">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二</w:t>
      </w: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教学经费投入</w:t>
      </w:r>
    </w:p>
    <w:p w14:paraId="4FA8E667">
      <w:pPr>
        <w:pStyle w:val="18"/>
        <w:kinsoku/>
        <w:autoSpaceDE/>
        <w:autoSpaceDN/>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坚持以教学为中心，保障教学投入的优先地位，确保教学基本建设和日常经费投入及时足额到位。学校年度经费预算中优先安排教学经费，重点增加教学设备购置、专业建设、师资建设和教学业务等方面投入。202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年教学日常运行支出为</w:t>
      </w:r>
      <w:r>
        <w:rPr>
          <w:rFonts w:hint="eastAsia" w:ascii="宋体" w:hAnsi="宋体" w:eastAsia="宋体" w:cs="宋体"/>
          <w:color w:val="auto"/>
          <w:sz w:val="24"/>
          <w:szCs w:val="24"/>
          <w:highlight w:val="none"/>
          <w:lang w:val="en-US" w:eastAsia="zh-CN"/>
        </w:rPr>
        <w:t>3866</w:t>
      </w:r>
      <w:r>
        <w:rPr>
          <w:rFonts w:hint="eastAsia" w:ascii="宋体" w:hAnsi="宋体" w:eastAsia="宋体" w:cs="宋体"/>
          <w:color w:val="auto"/>
          <w:sz w:val="24"/>
          <w:szCs w:val="24"/>
          <w:highlight w:val="none"/>
          <w:lang w:eastAsia="zh-CN"/>
        </w:rPr>
        <w:t>万元，生均为</w:t>
      </w:r>
      <w:r>
        <w:rPr>
          <w:rFonts w:hint="eastAsia" w:ascii="宋体" w:hAnsi="宋体" w:eastAsia="宋体" w:cs="宋体"/>
          <w:b w:val="0"/>
          <w:bCs/>
          <w:sz w:val="24"/>
          <w:szCs w:val="24"/>
          <w:highlight w:val="none"/>
          <w:lang w:val="en-US" w:eastAsia="zh-CN"/>
        </w:rPr>
        <w:t>2528.45</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val="en-US" w:eastAsia="zh-CN"/>
        </w:rPr>
        <w:t>本科实验经费支出440</w:t>
      </w:r>
      <w:r>
        <w:rPr>
          <w:rFonts w:hint="eastAsia" w:ascii="宋体" w:hAnsi="宋体" w:eastAsia="宋体" w:cs="宋体"/>
          <w:color w:val="auto"/>
          <w:sz w:val="24"/>
          <w:szCs w:val="24"/>
          <w:highlight w:val="none"/>
          <w:lang w:eastAsia="zh-CN"/>
        </w:rPr>
        <w:t>万元，生均为</w:t>
      </w:r>
      <w:r>
        <w:rPr>
          <w:rFonts w:hint="eastAsia" w:ascii="宋体" w:hAnsi="宋体" w:eastAsia="宋体" w:cs="宋体"/>
          <w:color w:val="auto"/>
          <w:sz w:val="24"/>
          <w:szCs w:val="24"/>
          <w:highlight w:val="none"/>
          <w:lang w:val="en-US" w:eastAsia="zh-CN"/>
        </w:rPr>
        <w:t>539.94</w:t>
      </w:r>
      <w:r>
        <w:rPr>
          <w:rFonts w:hint="eastAsia" w:ascii="宋体" w:hAnsi="宋体" w:eastAsia="宋体" w:cs="宋体"/>
          <w:color w:val="auto"/>
          <w:sz w:val="24"/>
          <w:szCs w:val="24"/>
          <w:highlight w:val="none"/>
          <w:lang w:eastAsia="zh-CN"/>
        </w:rPr>
        <w:t>元；本科实习经费支出为</w:t>
      </w: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万元，生均为</w:t>
      </w:r>
      <w:r>
        <w:rPr>
          <w:rFonts w:hint="eastAsia" w:ascii="宋体" w:hAnsi="宋体" w:eastAsia="宋体" w:cs="宋体"/>
          <w:color w:val="auto"/>
          <w:sz w:val="24"/>
          <w:szCs w:val="24"/>
          <w:highlight w:val="none"/>
          <w:lang w:val="en-US" w:eastAsia="zh-CN"/>
        </w:rPr>
        <w:t>246.66</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eastAsia="zh-CN"/>
        </w:rPr>
        <w:t>2024-2025学年教学科研仪器设备新增值为1388.07万元，保障了教学工作的有序开展。</w:t>
      </w:r>
    </w:p>
    <w:p w14:paraId="305CCF60">
      <w:pPr>
        <w:kinsoku/>
        <w:autoSpaceDE/>
        <w:autoSpaceDN/>
        <w:adjustRightInd/>
        <w:snapToGrid/>
        <w:spacing w:line="400" w:lineRule="exact"/>
        <w:jc w:val="left"/>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（三）教学资源</w:t>
      </w:r>
    </w:p>
    <w:p w14:paraId="61D43D77">
      <w:pPr>
        <w:numPr>
          <w:ilvl w:val="0"/>
          <w:numId w:val="0"/>
        </w:numPr>
        <w:kinsoku/>
        <w:autoSpaceDE/>
        <w:autoSpaceDN/>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按照学校“十四五”事业发展规划中对课程建设的要求，制定《课程建设与管理办法》《课程建设评估指标体系》等制度，有计划、有标准，稳步推进课程建设，构建了由通识教育课程、学科专业基础课程、专业课程、集中实践课程组成的“四位一体”课程体系。</w:t>
      </w:r>
    </w:p>
    <w:p w14:paraId="35C6957E">
      <w:pPr>
        <w:kinsoku/>
        <w:autoSpaceDE/>
        <w:autoSpaceDN/>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注重把思想政治教育贯穿人才培养全过程，充分挖掘育人元素，全面推进课程思政建设，认真落实教育部《高等学校课程思政建设指导纲要》文件要求，制定《课程思政建设实施方案》，将课程思政融入课堂教学全过程。2024-2025学年组织开展校级课程思政教学比赛，评选出一等奖1人、二等奖2人、三等奖3人；评选校级课程思政示范课程10门、课程思政优秀教师15人；改革大学体育课程，设置体育选修项目，满足学生多元需求；设置艺术审美课程模块，将艺术实践活动纳入“第二课堂”素质拓展模块，提高学生审美与人文素养；开设劳动教育课，设置劳动实践周，全面提高学生劳动素养。制定《一流本科课程建设实施方案》，开展一流本科课程建设，坚持提升高阶性、突出创新性、增加挑战度，推进课程改革创新，重塑教育教学形态，建有适应新时代要求的省级一流本科课程1门、省级课程思政示范课程1门、省级在线开放课程3门、校级一流本科课程38门。</w:t>
      </w:r>
    </w:p>
    <w:p w14:paraId="699560D9">
      <w:pPr>
        <w:kinsoku/>
        <w:autoSpaceDE/>
        <w:autoSpaceDN/>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设置通识选修课、专业拓展选修课和第二课堂活动等选修模块。制定《通识教育选修课程管理办法》，加强通识教育选修课建设与管理，设置“四史”、国学经典、医养健康、文学修养、艺术审美、科学技术、体育运动和创新创业8个通识选修模块。2024～2025学年，开出通识教育选修课12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门；人才培养方案按照应修学分1.5倍的原则设置专业拓展选修课，满足学生选课需求。</w:t>
      </w:r>
    </w:p>
    <w:p w14:paraId="066773D1">
      <w:pPr>
        <w:kinsoku/>
        <w:autoSpaceDE/>
        <w:autoSpaceDN/>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利用现代信息技术，丰富网络教学资源。2024～2025学年，引用智慧树、超星等平台网络课程34门，累计修读1753人次，现代教育技术和手段使用效果较好。</w:t>
      </w:r>
    </w:p>
    <w:p w14:paraId="0C50BD1C">
      <w:pPr>
        <w:pStyle w:val="18"/>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实践教学基地建设。校内建有10个实验实训中心，设置191个实验（实训）室，各专业均建有完备的实验实训室。学校先后与山东第一医科大学第一附属医院、山东中医药大学第二附属医院、山东天齐置业集团股份有限公司等企事业单位共建校外实践教学基地151个。主动与地方政府部门、行业企业联合开展技术研发、成果转化、咨询服务、人员互聘等，取得了较好的社会效益。</w:t>
      </w:r>
    </w:p>
    <w:p w14:paraId="6A9F636D">
      <w:pPr>
        <w:spacing w:before="120" w:beforeLines="50" w:after="120" w:afterLines="50"/>
        <w:jc w:val="both"/>
        <w:outlineLvl w:val="1"/>
        <w:rPr>
          <w:rFonts w:ascii="黑体" w:hAnsi="黑体" w:eastAsia="黑体" w:cs="黑体"/>
          <w:color w:val="auto"/>
          <w:sz w:val="24"/>
          <w:szCs w:val="24"/>
          <w:highlight w:val="none"/>
          <w:lang w:eastAsia="zh-CN"/>
        </w:rPr>
      </w:pPr>
      <w:bookmarkStart w:id="53" w:name="_Toc22954"/>
      <w:r>
        <w:rPr>
          <w:rFonts w:hint="eastAsia" w:ascii="黑体" w:hAnsi="黑体" w:eastAsia="黑体" w:cs="黑体"/>
          <w:color w:val="auto"/>
          <w:sz w:val="28"/>
          <w:szCs w:val="28"/>
          <w:highlight w:val="none"/>
          <w:lang w:val="en-US" w:eastAsia="zh-CN"/>
        </w:rPr>
        <w:t>四</w:t>
      </w:r>
      <w:r>
        <w:rPr>
          <w:rFonts w:hint="eastAsia" w:ascii="黑体" w:hAnsi="黑体" w:eastAsia="黑体" w:cs="黑体"/>
          <w:color w:val="auto"/>
          <w:sz w:val="28"/>
          <w:szCs w:val="28"/>
          <w:highlight w:val="none"/>
          <w:lang w:eastAsia="zh-CN"/>
        </w:rPr>
        <w:t>、</w:t>
      </w:r>
      <w:r>
        <w:rPr>
          <w:rFonts w:hint="eastAsia" w:ascii="黑体" w:hAnsi="黑体" w:eastAsia="黑体" w:cs="黑体"/>
          <w:color w:val="auto"/>
          <w:sz w:val="28"/>
          <w:szCs w:val="28"/>
          <w:highlight w:val="none"/>
          <w:lang w:val="en-US" w:eastAsia="zh-CN"/>
        </w:rPr>
        <w:t>立德树人落实机制</w:t>
      </w:r>
      <w:bookmarkEnd w:id="53"/>
    </w:p>
    <w:p w14:paraId="0041A384">
      <w:pPr>
        <w:pStyle w:val="18"/>
        <w:widowControl w:val="0"/>
        <w:kinsoku/>
        <w:adjustRightInd/>
        <w:snapToGrid/>
        <w:spacing w:line="400" w:lineRule="exact"/>
        <w:ind w:firstLine="480" w:firstLineChars="200"/>
        <w:jc w:val="both"/>
        <w:textAlignment w:val="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坚持以习近平新时代中国特色社会主义思想为指导，认真学习贯彻习近平总书记关于教育的重要论述，全面贯彻落实党的二十大精神。根据《关于加强民办学校党的建设工作的意见（试行）》《中国共产党普通高等学校基层组织工作条例》，进一步完善党委会议事规则、党委会</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lang w:eastAsia="zh-CN"/>
        </w:rPr>
        <w:t>第一议题</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lang w:eastAsia="zh-CN"/>
        </w:rPr>
        <w:t>制度和党委理论学习中心组学习制度，确保党中央决策部署和省委工作要求落实落地。认真开展习近平新时代中国特色社会主义思想主题教育、党史学习教育</w:t>
      </w:r>
      <w:r>
        <w:rPr>
          <w:rFonts w:hint="eastAsia" w:ascii="宋体" w:hAnsi="宋体" w:eastAsia="宋体" w:cs="宋体"/>
          <w:color w:val="auto"/>
          <w:sz w:val="24"/>
          <w:szCs w:val="24"/>
          <w:highlight w:val="none"/>
          <w:lang w:val="en-US" w:eastAsia="zh-CN"/>
        </w:rPr>
        <w:t>等活动</w:t>
      </w:r>
      <w:r>
        <w:rPr>
          <w:rFonts w:ascii="宋体" w:hAnsi="宋体" w:eastAsia="宋体" w:cs="宋体"/>
          <w:color w:val="auto"/>
          <w:sz w:val="24"/>
          <w:szCs w:val="24"/>
          <w:highlight w:val="none"/>
          <w:lang w:eastAsia="zh-CN"/>
        </w:rPr>
        <w:t>。重视党的基层组织建设，开展党员教育培训。坚持二级学院（部）党政联席会议制度，发挥党组织的政治保障作用，把党的领导力和组织力转化为推进教学科研工作的强大动力。</w:t>
      </w:r>
    </w:p>
    <w:p w14:paraId="3EE85281">
      <w:pPr>
        <w:kinsoku/>
        <w:autoSpaceDE/>
        <w:autoSpaceDN/>
        <w:adjustRightInd/>
        <w:snapToGrid/>
        <w:spacing w:line="400" w:lineRule="exact"/>
        <w:jc w:val="left"/>
        <w:textAlignment w:val="auto"/>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一</w:t>
      </w:r>
      <w:r>
        <w:rPr>
          <w:rFonts w:hint="eastAsia" w:ascii="黑体" w:hAnsi="黑体" w:eastAsia="黑体" w:cs="黑体"/>
          <w:sz w:val="24"/>
          <w:szCs w:val="24"/>
          <w:highlight w:val="none"/>
          <w:lang w:eastAsia="zh-CN"/>
        </w:rPr>
        <w:t>）完善学校学生思想政治教育制度建设</w:t>
      </w:r>
    </w:p>
    <w:p w14:paraId="0544C475">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完善</w:t>
      </w:r>
      <w:r>
        <w:rPr>
          <w:rFonts w:hint="eastAsia" w:ascii="宋体" w:hAnsi="宋体" w:eastAsia="宋体" w:cs="宋体"/>
          <w:sz w:val="24"/>
          <w:szCs w:val="24"/>
          <w:highlight w:val="none"/>
          <w:lang w:eastAsia="zh-CN"/>
        </w:rPr>
        <w:t>《关于进一步加强“三全育人”综合改革意见》《关于加强和改进新时代学校思想政治工作的实施方案》《德育综合改革方案》等制度，将立德树人根本任务落实到专业人才培养方案及教育教学中，努力推进全员育人、全程育人、全方位育人。坚持“五育并举”，积极实施德育铸魂、智育固本、体育强健、美育浸润、劳动教育淬炼，促进学生德智体美劳全面发展。</w:t>
      </w:r>
    </w:p>
    <w:p w14:paraId="3B79F5AD">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生处（学生工作部）修订《山东现代学院学生思想政治教育活动实施方案》《共青团山东现代学院“青年马克思主义者培养工程”实施方案》《共青团山东现代学院委员会推优入党工作实施细则（修订）》等文件，着力构建并完善学生思想政治教育制度体系。围绕理想信念、法制安全、核心价值观、劳动及国防等关键领域，常态化开展主题教育活动，将中华优秀传统文化与家国情怀有机融入思政教育全过程，引导学生树立正确的世界观、人生观、价值观，进一步筑牢共产主义理想信念根基，增强学生的社会责任感与使命感。</w:t>
      </w:r>
    </w:p>
    <w:p w14:paraId="51790504">
      <w:pPr>
        <w:kinsoku/>
        <w:autoSpaceDE/>
        <w:autoSpaceDN/>
        <w:adjustRightInd/>
        <w:snapToGrid/>
        <w:spacing w:line="400" w:lineRule="exact"/>
        <w:jc w:val="left"/>
        <w:textAlignment w:val="auto"/>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lang w:val="en-US" w:eastAsia="zh-CN"/>
        </w:rPr>
        <w:t>二</w:t>
      </w:r>
      <w:r>
        <w:rPr>
          <w:rFonts w:hint="eastAsia" w:ascii="黑体" w:hAnsi="黑体" w:eastAsia="黑体" w:cs="黑体"/>
          <w:sz w:val="24"/>
          <w:szCs w:val="24"/>
          <w:highlight w:val="none"/>
          <w:lang w:eastAsia="zh-CN"/>
        </w:rPr>
        <w:t>）丰富思想政治教育内容</w:t>
      </w:r>
    </w:p>
    <w:p w14:paraId="29474815">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理想信念教育活动。在重点节日、重要节点，如雷锋日、清明节、五四青年节、建军节、“九一八”、国庆节、国家公祭日等开展</w:t>
      </w:r>
      <w:r>
        <w:rPr>
          <w:rFonts w:hint="eastAsia" w:ascii="宋体" w:hAnsi="宋体" w:eastAsia="宋体" w:cs="宋体"/>
          <w:sz w:val="24"/>
          <w:szCs w:val="24"/>
          <w:highlight w:val="none"/>
          <w:lang w:val="en-US" w:eastAsia="zh-CN"/>
        </w:rPr>
        <w:t>多种形式的</w:t>
      </w:r>
      <w:r>
        <w:rPr>
          <w:rFonts w:hint="eastAsia" w:ascii="宋体" w:hAnsi="宋体" w:eastAsia="宋体" w:cs="宋体"/>
          <w:sz w:val="24"/>
          <w:szCs w:val="24"/>
          <w:highlight w:val="none"/>
          <w:lang w:eastAsia="zh-CN"/>
        </w:rPr>
        <w:t>活动，本学年组织开展了“弘扬雷锋精神，争做有志青年”雷锋主题讲座、“赓续雷锋精神·闪耀青春光彩”演讲比赛、“缅怀先烈志·共筑中华魂”济南革命烈士陵园祭扫活动、“不负韶华·强国有我”2025年五四青年节文艺汇演暨“五四”评优颁奖典礼、“忆往昔峥嵘·看今朝辉煌”主题手抄报比赛等活动，引导学生树立远大的理想信念，增强他们的使命感和责任感。持续推进青年马克思主义者培养工程、青年大学习、学习强国等工作，为国家培养政治品格忠诚、家国情怀浓厚、理论功底扎实、能力素质突出的青年学生骨干。</w:t>
      </w:r>
    </w:p>
    <w:p w14:paraId="409CACD4">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开展法制及安全教育活动。持续开展意识形态、国家安全、法律法规、防诈骗、禁毒、反传销、反邪教等教育活动，维护校园平安、和谐、稳定。组织开展“增强国家安全意识·共同维护国家安全”国家安全日主题讲座、“关爱生命·安全发展”主题讲座、“安全无界·命运同担”演讲比赛，举办“学宪法，讲宪法”演讲比赛，开展“弘扬宪法精神·共育法治校园”宪法宣传等活动，提高学生的法律素养，强化学生的法律观念，增强学生的法律意识。</w:t>
      </w:r>
    </w:p>
    <w:p w14:paraId="7451315B">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核心价值观教育活动。将中华优秀传统文化、红色文化、社会主义先进文化和社会主义核心价值观融入教育活动中，并在日常教育活动中持续落实“七个一”，帮助学生树立正确的社会主义核心价值观。通过开展“现代大讲堂”“卓越笔记评选”“复盘与演讲活动”“世界读书日千人诵读活动”“诗意盎然·律动青春”诗词吟诵比赛、“红歌飞扬·盛世和声”合唱比赛等活动，培养学生爱党爱国、知校爱校荣校兴校的意识。</w:t>
      </w:r>
    </w:p>
    <w:p w14:paraId="16AF4EB7">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劳动教育活动。将劳动教育纳入人才培养方案，开设《大学生劳动教育概论》通识必修课，设置劳动实践周。定期召开劳动主题教育班会，倡导学生每日劳动，组织学生每日进行公寓内务整理、校园、教室等卫生清扫，到餐厅收拾餐盘、打扫卫生等体验，让每日劳动成为生活常态。每周组织爱国卫生运动，让学生参与到日常班级、学校劳动工作中。引导学生养成良好的劳动习惯，培养学生的劳动情感、劳动能力和劳动品质。</w:t>
      </w:r>
    </w:p>
    <w:p w14:paraId="200CA0BA">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国防教育活动。将国防教育纳入人才培养方案，开设《大学生国家安全教育》通识必修课。持续推进导航工程，选拔综合素质较高的同学加入导航员队伍，充分发挥导航员的朋辈引领作用，以身作则，组织好实践，提高实践育人质量。通过举办“新兵入伍欢送大会”、“心怀国防梦·厚植爱国情”国防教育系列讲座、“爱我国防”主题演讲、“山河万里映红妆·吾辈逐梦续华章”朗诵比赛等丰富活动，提高学生的国防意识，培养他们的国家责任感和荣誉感，增强他们的爱国情怀和对国家的忠诚度。</w:t>
      </w:r>
    </w:p>
    <w:p w14:paraId="054B2E35">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心理健康教育活动。将心理健康教育纳入人才培养方案，开设《大学生心理健康教育》通识必修课。构建了“一二三四五”教育体系，体系以“立德树人”为根本任务，坚持“普及教育和个别咨询相结合，教育与自我教育相结合”两个结合，实现“教育模式、教育方法、教育视角”三个转变，完善“健康教育、监测预警、咨询服务、干预处置”四位一体育人模式，落实“组织、队伍、经费、条件、机制”五个保障。修订了《山东现代学院大学生心理健康教育实施意见》，拟定《心理危机干预转介实施细则》；举办“5·25”大学生心理健康节系列活动，培养学生积极健康的心理品质,参与活动达11487人次；每月扎实开展个体咨询、团体辅导、主题班会、教师培训等活动；每月对特殊学生进行谈心谈话，更新特殊学生档案，密切关注特殊学生的心理状态，共帮助66名学生解决心理问题，提升学生心理健康水平。</w:t>
      </w:r>
    </w:p>
    <w:p w14:paraId="62129919">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服务育人活动。在生活区建设“一站式”学生社区，开展学生的思想引导、学业辅导、心理疏导等教育活动，实时解决学生们的现实问题和困惑，为学生提供“个性化”服务，举办了第三届山东现代学院优良学风宿舍之学霸宿舍、内务标兵宿舍、十佳党员宿舍评选活动和优良学风宿舍总结表彰大会。餐厅定期组织开展学生帮厨活动和端午节等中国传统节日育人主题活动。通过多渠道开展服务育人活动，为学生成长成才创造有利条件。</w:t>
      </w:r>
    </w:p>
    <w:p w14:paraId="33447640">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资助育人活动。根据我校的资助育人实施计划，深入开展诚信教育、感恩教育、励志教育，持续开展家庭走访和送温暖活动。指导各二级学院开展“携手共进，爱心同行”“诚信铸魂，感恩筑梦”等主题活动，让学生在实践中受教育、长才干，提升了学生的价值感、使命感与责任感，以己之力、以己之智去服务社会、回馈社会。力求实现“解困—育人—成才—回馈”的良性循环，不断推进精准资助，提升资助育人效果。</w:t>
      </w:r>
    </w:p>
    <w:p w14:paraId="355ED143">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开展</w:t>
      </w:r>
      <w:r>
        <w:rPr>
          <w:rFonts w:hint="eastAsia" w:ascii="宋体" w:hAnsi="宋体" w:eastAsia="宋体" w:cs="宋体"/>
          <w:sz w:val="24"/>
          <w:szCs w:val="24"/>
          <w:highlight w:val="none"/>
          <w:lang w:eastAsia="zh-CN"/>
        </w:rPr>
        <w:t>教育实践活动。组织大学生开展职业生涯规划、创新创业、社会公益、志愿服务、科技发明、勤工助学等教育实践活动。深入开展“百万大学生进社区”“三下乡”“志愿服务西部计划”“返家乡”、社区实践等项目。丰富和深化大学生思想政治教育的实践内容，使学生在理论和实践相结合的过程中增长才干，加强实践能力，提高创新精神，促进学生综合素养的提升。</w:t>
      </w:r>
    </w:p>
    <w:p w14:paraId="48739D4F">
      <w:pPr>
        <w:spacing w:before="120" w:beforeLines="50" w:after="120" w:afterLines="50"/>
        <w:jc w:val="both"/>
        <w:outlineLvl w:val="1"/>
        <w:rPr>
          <w:rFonts w:hint="default" w:ascii="黑体" w:hAnsi="黑体" w:eastAsia="黑体" w:cs="黑体"/>
          <w:sz w:val="24"/>
          <w:szCs w:val="24"/>
          <w:highlight w:val="none"/>
          <w:lang w:val="en-US" w:eastAsia="zh-CN"/>
        </w:rPr>
      </w:pPr>
      <w:bookmarkStart w:id="54" w:name="_Toc30047"/>
      <w:r>
        <w:rPr>
          <w:rFonts w:hint="eastAsia" w:ascii="黑体" w:hAnsi="黑体" w:eastAsia="黑体" w:cs="黑体"/>
          <w:sz w:val="28"/>
          <w:szCs w:val="28"/>
          <w:highlight w:val="none"/>
          <w:lang w:val="en-US" w:eastAsia="zh-CN"/>
        </w:rPr>
        <w:t>五</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专业课程体系建设</w:t>
      </w:r>
      <w:bookmarkEnd w:id="54"/>
    </w:p>
    <w:p w14:paraId="6A14E7D0">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黑体" w:hAnsi="黑体" w:eastAsia="黑体" w:cs="黑体"/>
          <w:sz w:val="24"/>
          <w:szCs w:val="24"/>
          <w:highlight w:val="none"/>
          <w:lang w:val="en-US" w:eastAsia="zh-CN"/>
        </w:rPr>
      </w:pPr>
      <w:r>
        <w:rPr>
          <w:rFonts w:hint="eastAsia" w:ascii="宋体" w:hAnsi="宋体" w:eastAsia="宋体" w:cs="宋体"/>
          <w:snapToGrid w:val="0"/>
          <w:color w:val="000000"/>
          <w:sz w:val="24"/>
          <w:szCs w:val="24"/>
          <w:highlight w:val="none"/>
          <w:lang w:val="en-US" w:eastAsia="zh-CN" w:bidi="ar-SA"/>
        </w:rPr>
        <w:t>以校级重点学科专业为龙头，以医学、工学、管理学和教育学为重点，统筹兼顾专业建设与学科建设，进一步整合和优化资源配置，增强专业学科之间的相互支撑，构建优势特色学科专业群，统筹推进电子信息类、管理类、人文类等学科专业协调发展。瞄准山东省重点行业和重大工程需求，适时调整优化应用型学科专业结构，坚持以社会需求为导向，科学定位、分类指导，确定重点建设类和培育建设类专业群，加强重点专业建设的支撑力度，以提高教育教学质量为核心，努力做到规模、结构、质量、效益相统一，发挥其引领作用，以重点突破带动学校学科专业水平的整体提升。</w:t>
      </w:r>
      <w:r>
        <w:rPr>
          <w:rFonts w:hint="eastAsia" w:ascii="黑体" w:hAnsi="黑体" w:eastAsia="黑体" w:cs="黑体"/>
          <w:sz w:val="24"/>
          <w:szCs w:val="24"/>
          <w:highlight w:val="none"/>
          <w:lang w:val="en-US" w:eastAsia="zh-CN"/>
        </w:rPr>
        <w:t>（一）合理优化学科专业结构</w:t>
      </w:r>
    </w:p>
    <w:p w14:paraId="5F3F2624">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主动适应经济社会开展对人才培养提出的新要求，进一步调整优化学科结构，构建面向创新创业的新型人才培养体系，做好存量调整，增量优化,围绕服务国家重大战略和山东省“6997”产业布局，积极推进“四新”专业建设，做强人工智能、数据科学与大数据技术、智能制造等支撑战略性新兴产业发展的专业，强化学科交叉和专业融合，加快物流管理、财务管理等传统专业升级改造。</w:t>
      </w:r>
    </w:p>
    <w:p w14:paraId="5FD89A4A">
      <w:pPr>
        <w:kinsoku/>
        <w:autoSpaceDE/>
        <w:autoSpaceDN/>
        <w:adjustRightInd/>
        <w:snapToGrid/>
        <w:spacing w:line="400" w:lineRule="exact"/>
        <w:jc w:val="left"/>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（二）加强对人才市场的调研和预测工作</w:t>
      </w:r>
    </w:p>
    <w:p w14:paraId="677F8587">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根据经济社会发展的需要和我校的目标定位，科学制定专业建设的总体规划。坚持以专业建设为龙头，带动教学、教研水平的整体提高。调整和优化专业结构，形成布局合理、特色鲜明、相互促进、协调发展的专业体系。加强各专业人才梯队建设，确保专业发展的后劲。强化重点意识，整合专业力量，加大投入，在创建学校特色专业基础上，着力培植省级特色专业、品牌专业，以此带动学校的专业建设，为学校赢得声誉和发展空间。</w:t>
      </w:r>
    </w:p>
    <w:p w14:paraId="0F1A8624">
      <w:pPr>
        <w:kinsoku/>
        <w:autoSpaceDE/>
        <w:autoSpaceDN/>
        <w:adjustRightInd/>
        <w:snapToGrid/>
        <w:spacing w:line="400" w:lineRule="exact"/>
        <w:jc w:val="left"/>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（三）加强专业群建设</w:t>
      </w:r>
    </w:p>
    <w:p w14:paraId="269AEB94">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坚持需求驱动、创新驱动和特色发展战略，本着有利于专业形成发展合力与内生动力，有利于对接产业，提高社会服务能力；有利于整体化建设共享共用教学平台，提高办学效益。按照“相近融合”发展原则，对我校已有专业以产业集群进行组合，将医、药、护等相关专业组建健康类专业集群；学前教育、汉语言国际教育等专业组建教育类专业集群；将汽车服务工程、交通运输等专业组建汽车服务类专业集群；将计算机科学技术、人工智能、网络工程以及数据科学与大数据技术等专业组建信息技术与人工智能类专业集群；将物流管理、电子商务等专业组建现代物流类专业集群。</w:t>
      </w:r>
    </w:p>
    <w:p w14:paraId="7376324E">
      <w:pPr>
        <w:kinsoku/>
        <w:autoSpaceDE/>
        <w:autoSpaceDN/>
        <w:adjustRightInd/>
        <w:snapToGrid/>
        <w:spacing w:line="400" w:lineRule="exact"/>
        <w:jc w:val="left"/>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（四）打造优势特色高水平专业</w:t>
      </w:r>
    </w:p>
    <w:p w14:paraId="2C381D98">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一是紧紧依托地方产业行业，努力提升专业对接地方产业行业的契合度，按照“做精医学类专业、做强工科类专业、做活艺术类专业、做优经济管理类专业、做特教育类专业”的要求，以一流专业建设为引领，不断加强专业内涵建设。</w:t>
      </w:r>
    </w:p>
    <w:p w14:paraId="3F3F320B">
      <w:pPr>
        <w:keepNext w:val="0"/>
        <w:keepLines w:val="0"/>
        <w:pageBreakBefore w:val="0"/>
        <w:widowControl/>
        <w:kinsoku/>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二是对标省级一流本科专业建设标准和专业认证相关要求，扎实推进护理学、计算机科学与技术、市场营销、汽车服务工程等4个省级一流本科专业建设点建设，充分发挥省级一流本科专业建设点的示范引领作用，整体提升专业建设水平。三是积极开展开展应用型专业教学质量标准和课程标准建立工作。积极引入职业资格标准，修订完善专业人才培养规格标准；引入行业标准，修订完善专业建设标准；引入企业核心技术标准，修订完善专业核心课程标准，加强应用型课程、网络课程和资源共享平台建设。</w:t>
      </w:r>
    </w:p>
    <w:p w14:paraId="2722AF3C">
      <w:pPr>
        <w:kinsoku/>
        <w:autoSpaceDE/>
        <w:autoSpaceDN/>
        <w:adjustRightInd/>
        <w:snapToGrid/>
        <w:spacing w:line="400" w:lineRule="exact"/>
        <w:jc w:val="left"/>
        <w:textAlignment w:val="auto"/>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（五）加大课程建设力度，打造高水平课程</w:t>
      </w:r>
    </w:p>
    <w:p w14:paraId="656BD408">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一是制定政策措施，加大优质课程资源建设力度，优化以能力培养为核心的课程体系，强化课程对创新精神、创业意识、实践能力的支撑和达成作用，重点建设一批通识选修课程、专业核心课程、创新创业类课程，进一步丰富学校课程资源。二是强化驾驶的课程意识与课程开发能力，确保课程开发与建设的质量。邀请国内知名课程建设专家到学校作专题培训，选派教师到其他高校跟班学习课程开发业务和技能。组建高水平教师带头的课程建设团队，与行业企业专家共同开发建设优质课程资源，编写以应用能力培养为导向的教材，鼓励教师走进企业学习吸收兴业新技术、新标准以及来源于生产实践一线的案例，充实更新教学内容。</w:t>
      </w:r>
    </w:p>
    <w:p w14:paraId="23FA3A09">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按照知识、能力、素质结构的内在联系和教育教学规律，构建了由学科专业基础课程、专业课程（含专业核心课程和专业拓展课程）、通识教育课程、集中实践课程组成的“四位一体”课程体系。</w:t>
      </w:r>
    </w:p>
    <w:p w14:paraId="5817F222">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设置通识选修课、专业拓展选修课和第二课堂活动等选修模块。制定《通识教育选修课程管理办法》，加强通识教育选修课建设与管理，设置“四史”、国学经典、医养健康、文学修养、艺术审美、科学技术、体育运动和创新创业8个通识选修模块，为学生打造多样化、个性化学习环境。</w:t>
      </w:r>
    </w:p>
    <w:p w14:paraId="74D1BBB0">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注重把思想政治教育贯穿人才培养全过程。改革大学体育课程，设置体育选修项目，满足学生多元需求。进一步加强美育和劳动教育，在通识教育课程中设置“艺术审美类”课程，并将“第二课堂”艺术实践活动纳入人才培养方案，以课程教育为基础，以文化艺术熏陶为引领，以社团活动为载体，提高学生审美能力和人文素养。将劳动教育新要求融入人才培养方案，开设劳动教育课程，并通过校园劳动、公共服务、志愿服务、勤工助学、社会实践等活动开展劳动实践教育，引导学生崇尚劳动、尊重劳动、热爱劳动，全面提高学生劳动素养。</w:t>
      </w:r>
    </w:p>
    <w:p w14:paraId="30E2E5FB">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line="400" w:lineRule="exact"/>
        <w:ind w:firstLine="480" w:firstLineChars="200"/>
        <w:jc w:val="both"/>
        <w:textAlignment w:val="baseline"/>
        <w:outlineLvl w:val="2"/>
        <w:rPr>
          <w:rFonts w:hint="eastAsia" w:ascii="宋体" w:hAnsi="宋体" w:eastAsia="宋体" w:cs="宋体"/>
          <w:snapToGrid w:val="0"/>
          <w:color w:val="000000"/>
          <w:sz w:val="24"/>
          <w:szCs w:val="24"/>
          <w:highlight w:val="none"/>
          <w:lang w:val="en-US" w:eastAsia="zh-CN" w:bidi="ar-SA"/>
        </w:rPr>
      </w:pPr>
      <w:r>
        <w:rPr>
          <w:rFonts w:hint="eastAsia" w:ascii="宋体" w:hAnsi="宋体" w:eastAsia="宋体" w:cs="宋体"/>
          <w:snapToGrid w:val="0"/>
          <w:color w:val="000000"/>
          <w:sz w:val="24"/>
          <w:szCs w:val="24"/>
          <w:highlight w:val="none"/>
          <w:lang w:val="en-US" w:eastAsia="zh-CN" w:bidi="ar-SA"/>
        </w:rPr>
        <w:t>实践教学是专业教育教学体系的重要组成部分，是实现人才培养目标的重要途径，是培养学生理论联系实际，提高学生综合素质、实践能力和创新能力的重要教学过程。秉承立德树人、知行合一育人理念，聚焦提高学生的实践能力和创新能力，以优化实践课程体系为基础，以构建多维度实践教学平台为抓手，以强化实践教学队伍建设为支撑，根据高素质应用型人才培养目标，突出学生实践能力和创新能力培养，整体设计和系统规划整个人才培养周期的实践教学环节，整合各类实践教学要素，以能力培养为主线，构建贯穿全程、相互衔接、分层递进的“一目标、二能力、三层次、四模块、五平台”的实践教学体系。同时进一步加强实践教学管理，规范实践教学评价，不断提高实践教学质量。</w:t>
      </w:r>
    </w:p>
    <w:p w14:paraId="1E4C011C">
      <w:pPr>
        <w:spacing w:before="120" w:beforeLines="50" w:after="120" w:afterLines="50"/>
        <w:jc w:val="both"/>
        <w:outlineLvl w:val="1"/>
        <w:rPr>
          <w:rFonts w:hint="default" w:ascii="黑体" w:hAnsi="黑体" w:eastAsia="黑体" w:cs="黑体"/>
          <w:sz w:val="24"/>
          <w:szCs w:val="24"/>
          <w:highlight w:val="none"/>
          <w:lang w:val="en-US" w:eastAsia="zh-CN"/>
        </w:rPr>
      </w:pPr>
      <w:bookmarkStart w:id="55" w:name="_Toc18832"/>
      <w:r>
        <w:rPr>
          <w:rFonts w:hint="eastAsia" w:ascii="黑体" w:hAnsi="黑体" w:eastAsia="黑体" w:cs="黑体"/>
          <w:sz w:val="28"/>
          <w:szCs w:val="28"/>
          <w:highlight w:val="none"/>
          <w:lang w:val="en-US" w:eastAsia="zh-CN"/>
        </w:rPr>
        <w:t>六</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学风管理</w:t>
      </w:r>
      <w:bookmarkEnd w:id="55"/>
    </w:p>
    <w:p w14:paraId="1BD96C76">
      <w:pPr>
        <w:pStyle w:val="18"/>
        <w:widowControl w:val="0"/>
        <w:kinsoku/>
        <w:adjustRightInd/>
        <w:snapToGrid/>
        <w:spacing w:line="400" w:lineRule="exact"/>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为深入落实立德树人根本任务，践行学校人才培养目标，</w:t>
      </w:r>
      <w:r>
        <w:rPr>
          <w:rFonts w:hint="eastAsia" w:ascii="宋体" w:hAnsi="宋体" w:eastAsia="宋体" w:cs="宋体"/>
          <w:sz w:val="24"/>
          <w:szCs w:val="24"/>
          <w:highlight w:val="none"/>
          <w:lang w:eastAsia="zh-CN"/>
        </w:rPr>
        <w:t>学校大力加强“好学、勤学、乐学”的学风建设，全员参与、全程指导、全面服务。</w:t>
      </w:r>
      <w:r>
        <w:rPr>
          <w:rFonts w:hint="eastAsia" w:ascii="宋体" w:hAnsi="宋体" w:eastAsia="宋体" w:cs="宋体"/>
          <w:sz w:val="24"/>
          <w:szCs w:val="24"/>
          <w:highlight w:val="none"/>
          <w:lang w:val="en-US" w:eastAsia="zh-CN"/>
        </w:rPr>
        <w:t>学校围绕制度建设、导航工程、“七个一”养成教育、榜样树立、</w:t>
      </w:r>
      <w:r>
        <w:rPr>
          <w:rFonts w:hint="eastAsia" w:ascii="宋体" w:hAnsi="宋体" w:eastAsia="宋体" w:cs="宋体"/>
          <w:sz w:val="24"/>
          <w:szCs w:val="24"/>
          <w:highlight w:val="none"/>
          <w:lang w:eastAsia="zh-CN"/>
        </w:rPr>
        <w:t>优化育人氛围</w:t>
      </w:r>
      <w:r>
        <w:rPr>
          <w:rFonts w:hint="eastAsia" w:ascii="宋体" w:hAnsi="宋体" w:eastAsia="宋体" w:cs="宋体"/>
          <w:sz w:val="24"/>
          <w:szCs w:val="24"/>
          <w:highlight w:val="none"/>
          <w:lang w:val="en-US" w:eastAsia="zh-CN"/>
        </w:rPr>
        <w:t>等方面扎实推进学院学风建设，不断提高学院人才培养质量。</w:t>
      </w:r>
    </w:p>
    <w:p w14:paraId="2F5E6984">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default" w:ascii="黑体" w:hAnsi="黑体" w:eastAsia="黑体" w:cs="黑体"/>
          <w:sz w:val="24"/>
          <w:szCs w:val="24"/>
          <w:highlight w:val="none"/>
          <w:lang w:val="en-US" w:eastAsia="zh-CN"/>
        </w:rPr>
        <w:t>（一）制度建设引领学风</w:t>
      </w:r>
    </w:p>
    <w:p w14:paraId="4F2110C0">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进一步落实《山东现代学院关于进一步加强学风建设的实施意见》，学校学风建设领导小组、督查工作小组与二级学院（部）学风建设工作小组协同发力，坚持常规管理与长效机制建设相结合，在全校学生中大力弘扬“比、学、赶、帮、超”的优良学习风尚。一方面，健全管理机制，构建“学院—班级—宿舍”三级网格化管理体系，建立“查课堂、访宿舍”常态化工作制度，从严从细抓实学生日常管理，营造勤学笃行的浓厚学习氛围。另一方面，强化协同育人，推行辅导员常态化进课堂工作，以教师引导管理与学生自我管理双轮驱动，充分发挥学生骨干的先锋模范作用，引导学生养成良好行为习惯，为学风建设注入内生动力。</w:t>
      </w:r>
    </w:p>
    <w:p w14:paraId="0CF855F6">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default" w:ascii="黑体" w:hAnsi="黑体" w:eastAsia="黑体" w:cs="黑体"/>
          <w:sz w:val="24"/>
          <w:szCs w:val="24"/>
          <w:highlight w:val="none"/>
          <w:lang w:val="en-US" w:eastAsia="zh-CN"/>
        </w:rPr>
        <w:t>（二）“导航工程”促进学风</w:t>
      </w:r>
    </w:p>
    <w:p w14:paraId="5EE5C5A2">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导航工程”实施11年来，累计万余名学生报名，7434名学生参与训练，逐步构建起“选拔-培训-实践-考核-表彰”的完整培育体系。全年圆满完成18次校园升旗仪式，精心组织“走进自然·磨砺意志”徒步拉练活动；积极参与山东省第四届大学生国旗护卫队展示活动，我校仪仗队从全省142所高校中脱颖而出，荣获团体二等奖，队员获评“标兵升旗手”“队列标兵”荣誉称号，指导教师获“优秀指导教师奖”。“导航工程”以系列活动为载体，发挥学生骨干传帮带作用，推动学生自我管理、自我服务、自我教育、自我监督，助力优良学风建设走深走实。</w:t>
      </w:r>
    </w:p>
    <w:p w14:paraId="104893A6">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default" w:ascii="黑体" w:hAnsi="黑体" w:eastAsia="黑体" w:cs="黑体"/>
          <w:sz w:val="24"/>
          <w:szCs w:val="24"/>
          <w:highlight w:val="none"/>
          <w:lang w:val="en-US" w:eastAsia="zh-CN"/>
        </w:rPr>
        <w:t>（三）“七个一”养成教育提升学风</w:t>
      </w:r>
    </w:p>
    <w:p w14:paraId="34D819F7">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以学生成长和发展为中心，传承中华优秀传统文化，倡导学生每天进行诵读、抄悟、善行、劳动、运动、反思、总结等“七个一”自我提升，使学生自觉养成良好学习生活习惯，形成“好学、勤学、乐学”的学风，努力成为终身运动者、责任担当者、问题解决者、优雅生活者、终身学习者、终身奋斗者、幸福生活创造者。</w:t>
      </w:r>
    </w:p>
    <w:p w14:paraId="42A3130A">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1.每月开展一次“现代大讲堂”中华优秀传统文化主题讲座，2024-2025学年累计开展38场，参与学生3.2万人次；每月开展“卓越笔记”评选活动，覆盖全体学生，累计评选1332本，每天开展“复盘与演讲”展示活动，分享复讲学习心得与感悟，引导学生养成良好学习习惯。</w:t>
      </w:r>
    </w:p>
    <w:p w14:paraId="7A405D4A">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2.开展传统文化手抄报比赛传统文化知识竞赛、书法比赛等中华优秀传统文化活动，以文化人，以文育人，涵养学生的高尚品行，引导学生自觉延续文化基因，增强民族自尊心、自信心和自豪感。</w:t>
      </w:r>
    </w:p>
    <w:p w14:paraId="2E01ADE8">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3.组织学生开展植树节义工活动、百万大学生进社区社会实践活动等各类志愿服务活动，增强了学生的社会责任感，乐于奉献，弘扬正能量，积极践行社会主义核心价值观。积极参与无偿献血活动，2024年度山东省高等院校无偿献血活动中，我校被评为“山东省无偿献血组织表现突出学校”称号，山东现代学院志愿者服务中心获评“山东省无偿献血志愿服务表现突出集体”，王会芳等4名教师被授予“山东省无偿献血工作表现突出个人”，王成等35名学生被授予“山东省无偿献血爱心大学生”，王佳乐等7名学生被授予“山东省无偿献血志愿服务表现突出大学生”。</w:t>
      </w:r>
    </w:p>
    <w:p w14:paraId="1DDE0FED">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4.落实《健康中国行动（2019-2030年）》和《山东现代学院“体重管理年”活动实施方案》相关工作要求。持续开展国防教育导航工程培训，每天组织学生开展早操活动，引导学生每天坚持体育锻炼，同时利用学生的业余时间组织开展太极拳比赛、乒乓球比赛、篮球比赛等各类体育活动，引导学生养成良好行为习惯，不断自我提升，自我超越。</w:t>
      </w:r>
    </w:p>
    <w:p w14:paraId="2D41A86C">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5.组织各二级学院开展公寓卫生劳动，卫生科每周开展爱国卫生运动，清理公寓卫生、校园卫生、校园环境景点、教学楼内等区域卫生，落实每日一劳动。积极组织学生开展义工活动、爱国卫生运动等校内外系列劳动教育活动。在营造干净、卫生的校园环境的同时，帮助学生养成良好的卫生习惯。</w:t>
      </w:r>
    </w:p>
    <w:p w14:paraId="72B153DF">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default" w:ascii="黑体" w:hAnsi="黑体" w:eastAsia="黑体" w:cs="黑体"/>
          <w:sz w:val="24"/>
          <w:szCs w:val="24"/>
          <w:highlight w:val="none"/>
          <w:lang w:val="en-US" w:eastAsia="zh-CN"/>
        </w:rPr>
        <w:t>（四）榜样树立带动学风</w:t>
      </w:r>
    </w:p>
    <w:p w14:paraId="4FD8BFA1">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开展优良学风班、优良学风宿舍、校级优秀学生、优秀学生干部和先进班集体等评选活动，以来自学生中的青年榜样宣传激发学生的学习热情。定期召开表彰大会，对国家奖助学金获得者、优秀学生、优秀学生干部、优秀班集体、优秀共青团员、优秀共青团干部、五四红旗团组织等进行表彰，以典范榜样带动学风。2024-2025学年，学生获评国家奖学金35人、国家励志奖学金508人、省政府奖学金19人、省政府励志奖学金49人、济南奖学金7人；评选校级优秀学生491人、优秀学生干部531名和先进班集体15个；评选优秀共青团员81人，优秀共青团干部54人，五四红旗团支部20个、五四红旗团委2个。</w:t>
      </w:r>
    </w:p>
    <w:p w14:paraId="13983C12">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（五）优化学习环境</w:t>
      </w:r>
    </w:p>
    <w:p w14:paraId="517098B6">
      <w:pPr>
        <w:pStyle w:val="9"/>
        <w:spacing w:line="400" w:lineRule="exact"/>
        <w:ind w:firstLine="480" w:firstLineChars="200"/>
        <w:jc w:val="both"/>
        <w:rPr>
          <w:rFonts w:ascii="宋体" w:hAnsi="宋体" w:eastAsia="宋体" w:cs="宋体"/>
          <w:sz w:val="24"/>
          <w:szCs w:val="24"/>
          <w:highlight w:val="none"/>
          <w:lang w:eastAsia="zh-CN"/>
        </w:rPr>
      </w:pPr>
      <w:r>
        <w:rPr>
          <w:rFonts w:ascii="宋体" w:hAnsi="宋体" w:eastAsia="宋体" w:cs="宋体"/>
          <w:sz w:val="24"/>
          <w:szCs w:val="24"/>
          <w:highlight w:val="none"/>
          <w:lang w:eastAsia="zh-CN"/>
        </w:rPr>
        <w:t>图书馆不断丰富馆藏资源，积极开展阅读推广活动，</w:t>
      </w:r>
      <w:r>
        <w:rPr>
          <w:rFonts w:hint="eastAsia" w:ascii="宋体" w:hAnsi="宋体" w:eastAsia="宋体" w:cs="宋体"/>
          <w:sz w:val="24"/>
          <w:szCs w:val="24"/>
          <w:highlight w:val="none"/>
          <w:lang w:eastAsia="zh-CN"/>
        </w:rPr>
        <w:t>举办“沁润传统文化，争做时代先锋”等线上课程展3场；依托“万卷共知”“研学中心”等平台，组织138期阅读分享，构建“社团+阅读+美育”育人路径，推动学生综合素质全面提升。</w:t>
      </w:r>
      <w:r>
        <w:rPr>
          <w:rFonts w:ascii="宋体" w:hAnsi="宋体" w:eastAsia="宋体" w:cs="宋体"/>
          <w:sz w:val="24"/>
          <w:szCs w:val="24"/>
          <w:highlight w:val="none"/>
          <w:lang w:eastAsia="zh-CN"/>
        </w:rPr>
        <w:t>扩大实验室开放范围，支持学生自主开展学习研究和创新实践。丰富完善学校网络资源，学生可在校内随处学习。智慧教室为学生学习提供先进和舒适的场所。学校是山东省绿色学校，绿化覆盖率达68.48%，植物种类232种，建设静逸园、爱英园、南湖公园等9处休读点，道路楼宇命名彰显文化特色，宣传栏、标语展示名言警句，为学生学习交流创设了优美的环境，激励大学生成长成才。</w:t>
      </w:r>
    </w:p>
    <w:p w14:paraId="1B073927">
      <w:pPr>
        <w:kinsoku/>
        <w:autoSpaceDE/>
        <w:autoSpaceDN/>
        <w:adjustRightInd/>
        <w:snapToGrid/>
        <w:spacing w:line="400" w:lineRule="exact"/>
        <w:jc w:val="left"/>
        <w:textAlignment w:val="auto"/>
        <w:rPr>
          <w:rFonts w:hint="default" w:ascii="黑体" w:hAnsi="黑体" w:eastAsia="黑体" w:cs="黑体"/>
          <w:sz w:val="24"/>
          <w:szCs w:val="24"/>
          <w:highlight w:val="none"/>
          <w:lang w:val="en-US" w:eastAsia="zh-CN"/>
        </w:rPr>
      </w:pPr>
      <w:r>
        <w:rPr>
          <w:rFonts w:hint="default" w:ascii="黑体" w:hAnsi="黑体" w:eastAsia="黑体" w:cs="黑体"/>
          <w:sz w:val="24"/>
          <w:szCs w:val="24"/>
          <w:highlight w:val="none"/>
          <w:lang w:val="en-US" w:eastAsia="zh-CN"/>
        </w:rPr>
        <w:t>（</w:t>
      </w:r>
      <w:r>
        <w:rPr>
          <w:rFonts w:hint="eastAsia" w:ascii="黑体" w:hAnsi="黑体" w:eastAsia="黑体" w:cs="黑体"/>
          <w:sz w:val="24"/>
          <w:szCs w:val="24"/>
          <w:highlight w:val="none"/>
          <w:lang w:val="en-US" w:eastAsia="zh-CN"/>
        </w:rPr>
        <w:t>六</w:t>
      </w:r>
      <w:r>
        <w:rPr>
          <w:rFonts w:hint="default" w:ascii="黑体" w:hAnsi="黑体" w:eastAsia="黑体" w:cs="黑体"/>
          <w:sz w:val="24"/>
          <w:szCs w:val="24"/>
          <w:highlight w:val="none"/>
          <w:lang w:val="en-US" w:eastAsia="zh-CN"/>
        </w:rPr>
        <w:t>）浓厚学习氛围</w:t>
      </w:r>
    </w:p>
    <w:p w14:paraId="3D75EC98">
      <w:pPr>
        <w:pStyle w:val="18"/>
        <w:widowControl w:val="0"/>
        <w:kinsoku/>
        <w:adjustRightInd/>
        <w:snapToGrid/>
        <w:spacing w:line="400" w:lineRule="exact"/>
        <w:ind w:firstLine="480" w:firstLineChars="200"/>
        <w:jc w:val="both"/>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学生是学风建设的主体，学习主动性是学风建设的关键因素。通过开展新生入学教育、制定奖惩机制、举办科技竞赛等方式，来激发学生的学习兴趣和主动性。课堂是学风建设的重要内容，是培养大学生良好的纪律意识、学习风气和良好学习习惯的重要场所。加强对课堂教学秩序巡查的工作力度，全方位、多层次推进学风建设工作。同时，通过学业预警制度，及时向学生家长反馈学生的学习情况，共同促进学生的学业进步。完善《山东现代学院“第二课堂成绩单”制度实施办法》，定期举办专家辅导报告会、学习经验交流会、文化艺术节，组织学科竞赛、学风建设主题活动、社团活动、公益劳动等，激发了广大学生的学习热情。学生通过学工系统报名参加各类第二课堂活动，使学生参与第二课堂情况可记录、可评价、可测量、可呈现，通过积分换学分的方式，提高了学生参与活动的积极性。本学期，校团委及各二级学院通过平台共计发布各类活动2855项，累计参与12.6万人次。</w:t>
      </w:r>
    </w:p>
    <w:bookmarkEnd w:id="49"/>
    <w:bookmarkEnd w:id="50"/>
    <w:p w14:paraId="6006C027">
      <w:pPr>
        <w:rPr>
          <w:rFonts w:ascii="宋体" w:hAnsi="宋体" w:eastAsia="宋体" w:cs="宋体"/>
          <w:sz w:val="24"/>
          <w:szCs w:val="24"/>
          <w:highlight w:val="none"/>
          <w:lang w:eastAsia="zh-CN"/>
        </w:rPr>
      </w:pPr>
      <w:r>
        <w:rPr>
          <w:rFonts w:ascii="宋体" w:hAnsi="宋体" w:eastAsia="宋体" w:cs="宋体"/>
          <w:sz w:val="24"/>
          <w:szCs w:val="24"/>
          <w:highlight w:val="none"/>
          <w:lang w:eastAsia="zh-CN"/>
        </w:rPr>
        <w:br w:type="page"/>
      </w:r>
    </w:p>
    <w:p w14:paraId="45F38978">
      <w:pPr>
        <w:numPr>
          <w:ilvl w:val="0"/>
          <w:numId w:val="0"/>
        </w:numPr>
        <w:kinsoku/>
        <w:spacing w:before="120" w:beforeLines="50" w:after="120" w:afterLines="50"/>
        <w:jc w:val="both"/>
        <w:outlineLvl w:val="0"/>
        <w:rPr>
          <w:rFonts w:hint="eastAsia" w:ascii="黑体" w:hAnsi="黑体" w:eastAsia="黑体" w:cs="黑体"/>
          <w:bCs/>
          <w:color w:val="auto"/>
          <w:position w:val="14"/>
          <w:sz w:val="30"/>
          <w:szCs w:val="30"/>
          <w:highlight w:val="none"/>
          <w:lang w:eastAsia="zh-CN"/>
        </w:rPr>
      </w:pPr>
      <w:bookmarkStart w:id="56" w:name="_Toc31295"/>
      <w:r>
        <w:rPr>
          <w:rFonts w:hint="eastAsia" w:ascii="黑体" w:hAnsi="黑体" w:eastAsia="黑体" w:cs="黑体"/>
          <w:bCs/>
          <w:snapToGrid w:val="0"/>
          <w:color w:val="auto"/>
          <w:position w:val="14"/>
          <w:sz w:val="30"/>
          <w:szCs w:val="30"/>
          <w:highlight w:val="none"/>
          <w:lang w:val="en-US" w:eastAsia="zh-CN" w:bidi="ar-SA"/>
        </w:rPr>
        <w:t xml:space="preserve">第五部分 </w:t>
      </w:r>
      <w:r>
        <w:rPr>
          <w:rFonts w:hint="eastAsia" w:ascii="黑体" w:hAnsi="黑体" w:eastAsia="黑体" w:cs="黑体"/>
          <w:bCs/>
          <w:color w:val="auto"/>
          <w:position w:val="14"/>
          <w:sz w:val="30"/>
          <w:szCs w:val="30"/>
          <w:highlight w:val="none"/>
          <w:lang w:eastAsia="zh-CN"/>
        </w:rPr>
        <w:t>质量保障体系</w:t>
      </w:r>
      <w:bookmarkEnd w:id="56"/>
    </w:p>
    <w:p w14:paraId="68972D35">
      <w:pPr>
        <w:keepNext w:val="0"/>
        <w:keepLines w:val="0"/>
        <w:pageBreakBefore w:val="0"/>
        <w:widowControl/>
        <w:numPr>
          <w:ilvl w:val="0"/>
          <w:numId w:val="0"/>
        </w:numPr>
        <w:kinsoku/>
        <w:wordWrap/>
        <w:overflowPunct/>
        <w:topLinePunct w:val="0"/>
        <w:autoSpaceDE w:val="0"/>
        <w:autoSpaceDN w:val="0"/>
        <w:bidi w:val="0"/>
        <w:adjustRightInd w:val="0"/>
        <w:snapToGrid w:val="0"/>
        <w:spacing w:before="120" w:beforeLines="50" w:after="120" w:afterLines="50"/>
        <w:jc w:val="both"/>
        <w:textAlignment w:val="baseline"/>
        <w:outlineLvl w:val="0"/>
        <w:rPr>
          <w:rFonts w:ascii="黑体" w:hAnsi="黑体" w:eastAsia="黑体" w:cs="黑体"/>
          <w:sz w:val="28"/>
          <w:szCs w:val="28"/>
          <w:highlight w:val="none"/>
          <w:lang w:eastAsia="zh-CN"/>
        </w:rPr>
      </w:pPr>
      <w:bookmarkStart w:id="57" w:name="_Toc14042"/>
      <w:r>
        <w:rPr>
          <w:rFonts w:hint="eastAsia" w:ascii="黑体" w:hAnsi="黑体" w:eastAsia="黑体" w:cs="黑体"/>
          <w:sz w:val="28"/>
          <w:szCs w:val="28"/>
          <w:highlight w:val="none"/>
          <w:lang w:eastAsia="zh-CN"/>
        </w:rPr>
        <w:t>一、人才培养中心地位落实情况</w:t>
      </w:r>
      <w:bookmarkEnd w:id="57"/>
    </w:p>
    <w:p w14:paraId="4BEFBBC7">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（一）领导重视教学</w:t>
      </w:r>
    </w:p>
    <w:p w14:paraId="5C295EE5">
      <w:pPr>
        <w:kinsoku/>
        <w:autoSpaceDE/>
        <w:autoSpaceDN/>
        <w:spacing w:line="400" w:lineRule="exact"/>
        <w:ind w:firstLine="480" w:firstLineChars="200"/>
        <w:jc w:val="both"/>
        <w:textAlignment w:val="auto"/>
        <w:rPr>
          <w:rFonts w:ascii="宋体" w:hAnsi="宋体" w:eastAsia="宋体" w:cs="宋体"/>
          <w:sz w:val="24"/>
          <w:szCs w:val="24"/>
          <w:highlight w:val="none"/>
          <w:lang w:eastAsia="zh-CN"/>
        </w:rPr>
      </w:pPr>
      <w:r>
        <w:rPr>
          <w:rFonts w:hint="eastAsia" w:ascii="宋体" w:hAnsi="宋体" w:eastAsia="宋体" w:cs="宋体"/>
          <w:bCs/>
          <w:color w:val="auto"/>
          <w:sz w:val="24"/>
          <w:szCs w:val="24"/>
          <w:highlight w:val="none"/>
          <w:lang w:eastAsia="zh-CN"/>
        </w:rPr>
        <w:t>学校领导重视教学工作，将教学工作列入党委会和校长办公会的重要议事日程，202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202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学年，召开有关教学方面问题的党委会、校长办公会</w:t>
      </w:r>
      <w:r>
        <w:rPr>
          <w:rFonts w:hint="eastAsia" w:ascii="宋体" w:hAnsi="宋体" w:eastAsia="宋体" w:cs="宋体"/>
          <w:bCs/>
          <w:color w:val="auto"/>
          <w:sz w:val="24"/>
          <w:szCs w:val="24"/>
          <w:highlight w:val="none"/>
          <w:lang w:val="en-US" w:eastAsia="zh-CN"/>
        </w:rPr>
        <w:t>24</w:t>
      </w:r>
      <w:r>
        <w:rPr>
          <w:rFonts w:hint="eastAsia" w:ascii="宋体" w:hAnsi="宋体" w:eastAsia="宋体" w:cs="宋体"/>
          <w:bCs/>
          <w:color w:val="auto"/>
          <w:sz w:val="24"/>
          <w:szCs w:val="24"/>
          <w:highlight w:val="none"/>
          <w:lang w:eastAsia="zh-CN"/>
        </w:rPr>
        <w:t>次。</w:t>
      </w:r>
      <w:r>
        <w:rPr>
          <w:rFonts w:hint="eastAsia" w:ascii="宋体" w:hAnsi="宋体" w:eastAsia="宋体" w:cs="宋体"/>
          <w:color w:val="auto"/>
          <w:sz w:val="24"/>
          <w:szCs w:val="24"/>
          <w:highlight w:val="none"/>
          <w:lang w:eastAsia="zh-CN"/>
        </w:rPr>
        <w:t>召开了学校教学工作会议，坚持每周一次的教学例会。</w:t>
      </w:r>
      <w:r>
        <w:rPr>
          <w:rFonts w:hint="eastAsia" w:ascii="宋体" w:hAnsi="宋体" w:eastAsia="宋体" w:cs="宋体"/>
          <w:bCs/>
          <w:color w:val="auto"/>
          <w:sz w:val="24"/>
          <w:szCs w:val="24"/>
          <w:highlight w:val="none"/>
          <w:lang w:eastAsia="zh-CN"/>
        </w:rPr>
        <w:t>坚持校领导干部、</w:t>
      </w:r>
      <w:r>
        <w:rPr>
          <w:rFonts w:hint="eastAsia" w:ascii="宋体" w:hAnsi="宋体" w:eastAsia="宋体" w:cs="宋体"/>
          <w:bCs/>
          <w:color w:val="auto"/>
          <w:sz w:val="24"/>
          <w:szCs w:val="24"/>
          <w:highlight w:val="none"/>
          <w:lang w:val="en-US" w:eastAsia="zh-CN"/>
        </w:rPr>
        <w:t>中层</w:t>
      </w:r>
      <w:r>
        <w:rPr>
          <w:rFonts w:hint="eastAsia" w:ascii="宋体" w:hAnsi="宋体" w:eastAsia="宋体" w:cs="宋体"/>
          <w:bCs/>
          <w:color w:val="auto"/>
          <w:sz w:val="24"/>
          <w:szCs w:val="24"/>
          <w:highlight w:val="none"/>
          <w:lang w:eastAsia="zh-CN"/>
        </w:rPr>
        <w:t>听课制度，202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lang w:eastAsia="zh-CN"/>
        </w:rPr>
        <w:t>202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学年校领导听课</w:t>
      </w:r>
      <w:r>
        <w:rPr>
          <w:rFonts w:hint="eastAsia" w:ascii="宋体" w:hAnsi="宋体" w:eastAsia="宋体" w:cs="宋体"/>
          <w:bCs/>
          <w:color w:val="auto"/>
          <w:sz w:val="24"/>
          <w:szCs w:val="24"/>
          <w:highlight w:val="none"/>
          <w:lang w:val="en-US" w:eastAsia="zh-CN"/>
        </w:rPr>
        <w:t>81</w:t>
      </w:r>
      <w:r>
        <w:rPr>
          <w:rFonts w:hint="eastAsia" w:ascii="宋体" w:hAnsi="宋体" w:eastAsia="宋体" w:cs="宋体"/>
          <w:bCs/>
          <w:color w:val="auto"/>
          <w:sz w:val="24"/>
          <w:szCs w:val="24"/>
          <w:highlight w:val="none"/>
          <w:lang w:eastAsia="zh-CN"/>
        </w:rPr>
        <w:t>学时，中层干部听课</w:t>
      </w:r>
      <w:r>
        <w:rPr>
          <w:rFonts w:hint="eastAsia" w:ascii="宋体" w:hAnsi="宋体" w:eastAsia="宋体" w:cs="宋体"/>
          <w:bCs/>
          <w:color w:val="auto"/>
          <w:sz w:val="24"/>
          <w:szCs w:val="24"/>
          <w:highlight w:val="none"/>
          <w:lang w:val="en-US" w:eastAsia="zh-CN"/>
        </w:rPr>
        <w:t>534</w:t>
      </w:r>
      <w:r>
        <w:rPr>
          <w:rFonts w:hint="eastAsia" w:ascii="宋体" w:hAnsi="宋体" w:eastAsia="宋体" w:cs="宋体"/>
          <w:bCs/>
          <w:color w:val="auto"/>
          <w:sz w:val="24"/>
          <w:szCs w:val="24"/>
          <w:highlight w:val="none"/>
          <w:lang w:eastAsia="zh-CN"/>
        </w:rPr>
        <w:t>学时，及时掌握教学工作情况，协调解决教学工作中出现的问题。</w:t>
      </w:r>
    </w:p>
    <w:p w14:paraId="5BFB878E">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（二）制度保障教学</w:t>
      </w:r>
    </w:p>
    <w:p w14:paraId="1F481B53">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完善了</w:t>
      </w:r>
      <w:r>
        <w:rPr>
          <w:rFonts w:hint="eastAsia" w:ascii="宋体" w:hAnsi="宋体" w:eastAsia="宋体" w:cs="宋体"/>
          <w:bCs/>
          <w:color w:val="auto"/>
          <w:sz w:val="24"/>
          <w:szCs w:val="24"/>
          <w:highlight w:val="none"/>
          <w:lang w:val="en-US" w:eastAsia="zh-CN"/>
        </w:rPr>
        <w:t>80</w:t>
      </w:r>
      <w:r>
        <w:rPr>
          <w:rFonts w:hint="eastAsia" w:ascii="宋体" w:hAnsi="宋体" w:eastAsia="宋体" w:cs="宋体"/>
          <w:bCs/>
          <w:color w:val="auto"/>
          <w:sz w:val="24"/>
          <w:szCs w:val="24"/>
          <w:highlight w:val="none"/>
          <w:lang w:eastAsia="zh-CN"/>
        </w:rPr>
        <w:t>项教学管理制度，包括教学综合管理、专业与课程建设管理、实践教学管理、教学运行管理、学籍与学位管理、教学质量管理等六大类，各二级学院（部）结合自身实际制定相应的管理制度或实施细则，形成了较为完备的教学管理制度体系。教学管理制度详见表5-1。</w:t>
      </w:r>
    </w:p>
    <w:p w14:paraId="45695DAC">
      <w:pPr>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表5-1 教学管理制度</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8162"/>
      </w:tblGrid>
      <w:tr w14:paraId="6E0E3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F944395">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序号</w:t>
            </w:r>
          </w:p>
        </w:tc>
        <w:tc>
          <w:tcPr>
            <w:tcW w:w="8163" w:type="dxa"/>
            <w:vAlign w:val="center"/>
          </w:tcPr>
          <w:p w14:paraId="70D62AB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制度名称</w:t>
            </w:r>
          </w:p>
        </w:tc>
      </w:tr>
      <w:tr w14:paraId="484A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62" w:type="dxa"/>
            <w:gridSpan w:val="2"/>
            <w:vAlign w:val="center"/>
          </w:tcPr>
          <w:p w14:paraId="1699069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b/>
                <w:color w:val="auto"/>
                <w:highlight w:val="none"/>
                <w:lang w:eastAsia="zh-CN"/>
              </w:rPr>
              <w:t>教学综合管理</w:t>
            </w:r>
          </w:p>
        </w:tc>
      </w:tr>
      <w:tr w14:paraId="2079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1FDA809">
            <w:pPr>
              <w:widowControl/>
              <w:kinsoku/>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highlight w:val="none"/>
                <w:lang w:eastAsia="zh-CN" w:bidi="ar"/>
              </w:rPr>
              <w:t>1</w:t>
            </w:r>
          </w:p>
        </w:tc>
        <w:tc>
          <w:tcPr>
            <w:tcW w:w="8163" w:type="dxa"/>
            <w:vAlign w:val="center"/>
          </w:tcPr>
          <w:p w14:paraId="1E0478FB">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山东现代学院教学指导委员会章程</w:t>
            </w:r>
          </w:p>
        </w:tc>
      </w:tr>
      <w:tr w14:paraId="3F98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72E7E75">
            <w:pPr>
              <w:widowControl/>
              <w:kinsoku/>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highlight w:val="none"/>
                <w:lang w:eastAsia="zh-CN" w:bidi="ar"/>
              </w:rPr>
              <w:t>2</w:t>
            </w:r>
          </w:p>
        </w:tc>
        <w:tc>
          <w:tcPr>
            <w:tcW w:w="8163" w:type="dxa"/>
            <w:vAlign w:val="center"/>
          </w:tcPr>
          <w:p w14:paraId="6D9C25C2">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山东现代学院关于深化教学综合改革的实施意见</w:t>
            </w:r>
          </w:p>
        </w:tc>
      </w:tr>
      <w:tr w14:paraId="68FE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B7FDE12">
            <w:pPr>
              <w:widowControl/>
              <w:kinsoku/>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highlight w:val="none"/>
                <w:lang w:eastAsia="zh-CN" w:bidi="ar"/>
              </w:rPr>
              <w:t>3</w:t>
            </w:r>
          </w:p>
        </w:tc>
        <w:tc>
          <w:tcPr>
            <w:tcW w:w="8163" w:type="dxa"/>
            <w:vAlign w:val="center"/>
          </w:tcPr>
          <w:p w14:paraId="2B9A645A">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山东现代学院关于加强产学研合作教育的实施意见</w:t>
            </w:r>
          </w:p>
        </w:tc>
      </w:tr>
      <w:tr w14:paraId="3BE2B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2ADEB37">
            <w:pPr>
              <w:widowControl/>
              <w:kinsoku/>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highlight w:val="none"/>
                <w:lang w:eastAsia="zh-CN" w:bidi="ar"/>
              </w:rPr>
              <w:t>4</w:t>
            </w:r>
          </w:p>
        </w:tc>
        <w:tc>
          <w:tcPr>
            <w:tcW w:w="8163" w:type="dxa"/>
            <w:vAlign w:val="center"/>
          </w:tcPr>
          <w:p w14:paraId="28D2567D">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山东现代学院关于深化内涵建设全面提高教学质量的意见</w:t>
            </w:r>
          </w:p>
        </w:tc>
      </w:tr>
      <w:tr w14:paraId="692F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97B5D94">
            <w:pPr>
              <w:widowControl/>
              <w:kinsoku/>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highlight w:val="none"/>
                <w:lang w:eastAsia="zh-CN" w:bidi="ar"/>
              </w:rPr>
              <w:t>5</w:t>
            </w:r>
          </w:p>
        </w:tc>
        <w:tc>
          <w:tcPr>
            <w:tcW w:w="8163" w:type="dxa"/>
            <w:vAlign w:val="center"/>
          </w:tcPr>
          <w:p w14:paraId="2415F8CF">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山东现代学院关于加强新时代劳动教育的指导意见</w:t>
            </w:r>
          </w:p>
        </w:tc>
      </w:tr>
      <w:tr w14:paraId="59F10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D2F4214">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6</w:t>
            </w:r>
          </w:p>
        </w:tc>
        <w:tc>
          <w:tcPr>
            <w:tcW w:w="8163" w:type="dxa"/>
            <w:vAlign w:val="center"/>
          </w:tcPr>
          <w:p w14:paraId="09D5E905">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山东现代学院关于美育工作的实施方案</w:t>
            </w:r>
          </w:p>
        </w:tc>
      </w:tr>
      <w:tr w14:paraId="766F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62" w:type="dxa"/>
            <w:gridSpan w:val="2"/>
            <w:vAlign w:val="center"/>
          </w:tcPr>
          <w:p w14:paraId="25FDD940">
            <w:pPr>
              <w:widowControl/>
              <w:kinsoku/>
              <w:autoSpaceDE/>
              <w:autoSpaceDN/>
              <w:spacing w:line="400" w:lineRule="exact"/>
              <w:jc w:val="center"/>
              <w:textAlignment w:val="auto"/>
              <w:rPr>
                <w:rFonts w:ascii="宋体" w:hAnsi="宋体" w:eastAsia="宋体" w:cs="宋体"/>
                <w:spacing w:val="-2"/>
                <w:highlight w:val="none"/>
              </w:rPr>
            </w:pPr>
            <w:r>
              <w:rPr>
                <w:rFonts w:hint="eastAsia" w:ascii="宋体" w:hAnsi="宋体" w:eastAsia="宋体" w:cs="宋体"/>
                <w:b/>
                <w:bCs/>
                <w:spacing w:val="-2"/>
                <w:highlight w:val="none"/>
              </w:rPr>
              <w:t>专业与课程建设管理</w:t>
            </w:r>
          </w:p>
        </w:tc>
      </w:tr>
      <w:tr w14:paraId="5645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7FA5BD4">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7</w:t>
            </w:r>
          </w:p>
        </w:tc>
        <w:tc>
          <w:tcPr>
            <w:tcW w:w="8163" w:type="dxa"/>
            <w:vAlign w:val="center"/>
          </w:tcPr>
          <w:p w14:paraId="26EF9C95">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山东现代学院“十四五”专业建设与发展规划</w:t>
            </w:r>
          </w:p>
        </w:tc>
      </w:tr>
      <w:tr w14:paraId="1523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3C3581D">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8</w:t>
            </w:r>
          </w:p>
        </w:tc>
        <w:tc>
          <w:tcPr>
            <w:tcW w:w="8163" w:type="dxa"/>
            <w:vAlign w:val="center"/>
          </w:tcPr>
          <w:p w14:paraId="04C79C2C">
            <w:pPr>
              <w:widowControl/>
              <w:kinsoku/>
              <w:autoSpaceDE/>
              <w:autoSpaceDN/>
              <w:spacing w:line="400" w:lineRule="exact"/>
              <w:jc w:val="center"/>
              <w:textAlignment w:val="auto"/>
              <w:rPr>
                <w:rFonts w:ascii="宋体" w:hAnsi="宋体" w:eastAsia="宋体" w:cs="宋体"/>
                <w:spacing w:val="-2"/>
                <w:highlight w:val="none"/>
                <w:lang w:eastAsia="zh-CN"/>
              </w:rPr>
            </w:pPr>
            <w:r>
              <w:rPr>
                <w:rFonts w:hint="eastAsia" w:ascii="宋体" w:hAnsi="宋体" w:eastAsia="宋体" w:cs="宋体"/>
                <w:spacing w:val="-2"/>
                <w:highlight w:val="none"/>
                <w:lang w:eastAsia="zh-CN"/>
              </w:rPr>
              <w:t>山东现代学院本科专业人才培养方案管理办法</w:t>
            </w:r>
          </w:p>
        </w:tc>
      </w:tr>
      <w:tr w14:paraId="6191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77F3D45">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9</w:t>
            </w:r>
          </w:p>
        </w:tc>
        <w:tc>
          <w:tcPr>
            <w:tcW w:w="8163" w:type="dxa"/>
            <w:vAlign w:val="center"/>
          </w:tcPr>
          <w:p w14:paraId="65FC1A9D">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山东现代学院关于制定本科专业人才培养方案（2022版）的指导意见</w:t>
            </w:r>
          </w:p>
        </w:tc>
      </w:tr>
      <w:tr w14:paraId="2105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9FC9204">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10</w:t>
            </w:r>
          </w:p>
        </w:tc>
        <w:tc>
          <w:tcPr>
            <w:tcW w:w="8163" w:type="dxa"/>
            <w:vAlign w:val="center"/>
          </w:tcPr>
          <w:p w14:paraId="08D37B2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山东现代学院本科专业动态调整实施办法</w:t>
            </w:r>
          </w:p>
        </w:tc>
      </w:tr>
      <w:tr w14:paraId="2CE78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1117C1A">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11</w:t>
            </w:r>
          </w:p>
        </w:tc>
        <w:tc>
          <w:tcPr>
            <w:tcW w:w="8163" w:type="dxa"/>
            <w:vAlign w:val="center"/>
          </w:tcPr>
          <w:p w14:paraId="2E55F9D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山东现代学院一流本科专业建设实施方案</w:t>
            </w:r>
          </w:p>
        </w:tc>
      </w:tr>
      <w:tr w14:paraId="5BE7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99" w:type="dxa"/>
            <w:vAlign w:val="center"/>
          </w:tcPr>
          <w:p w14:paraId="7B1E0D60">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12</w:t>
            </w:r>
          </w:p>
        </w:tc>
        <w:tc>
          <w:tcPr>
            <w:tcW w:w="8163" w:type="dxa"/>
            <w:vAlign w:val="center"/>
          </w:tcPr>
          <w:p w14:paraId="5872B606">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山东现代学院课程建设与管理办法</w:t>
            </w:r>
          </w:p>
        </w:tc>
      </w:tr>
      <w:tr w14:paraId="0B1D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1E19349">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13</w:t>
            </w:r>
          </w:p>
        </w:tc>
        <w:tc>
          <w:tcPr>
            <w:tcW w:w="8163" w:type="dxa"/>
            <w:vAlign w:val="center"/>
          </w:tcPr>
          <w:p w14:paraId="36847DB3">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山东现代学院一流本科课程建设实施方案</w:t>
            </w:r>
          </w:p>
        </w:tc>
      </w:tr>
      <w:tr w14:paraId="3DFE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BA3D788">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14</w:t>
            </w:r>
          </w:p>
        </w:tc>
        <w:tc>
          <w:tcPr>
            <w:tcW w:w="8163" w:type="dxa"/>
            <w:vAlign w:val="center"/>
          </w:tcPr>
          <w:p w14:paraId="60112AEC">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山东现代学院在线开放课程建设与管理办法</w:t>
            </w:r>
          </w:p>
        </w:tc>
      </w:tr>
      <w:tr w14:paraId="5697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69A36E2">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15</w:t>
            </w:r>
          </w:p>
        </w:tc>
        <w:tc>
          <w:tcPr>
            <w:tcW w:w="8163" w:type="dxa"/>
            <w:vAlign w:val="center"/>
          </w:tcPr>
          <w:p w14:paraId="32A5FCE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山东现代学院通识教育选修课程管理办法</w:t>
            </w:r>
          </w:p>
        </w:tc>
      </w:tr>
      <w:tr w14:paraId="6F14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BEDAFF0">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16</w:t>
            </w:r>
          </w:p>
        </w:tc>
        <w:tc>
          <w:tcPr>
            <w:tcW w:w="8163" w:type="dxa"/>
            <w:vAlign w:val="center"/>
          </w:tcPr>
          <w:p w14:paraId="3BB775A6">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山东现代学院课程思政建设实施方案</w:t>
            </w:r>
          </w:p>
        </w:tc>
      </w:tr>
      <w:tr w14:paraId="7114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48919C4">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17</w:t>
            </w:r>
          </w:p>
        </w:tc>
        <w:tc>
          <w:tcPr>
            <w:tcW w:w="8163" w:type="dxa"/>
            <w:vAlign w:val="center"/>
          </w:tcPr>
          <w:p w14:paraId="0236B0CF">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山东现代学院本科课程教学大纲制定与管理办法</w:t>
            </w:r>
          </w:p>
        </w:tc>
      </w:tr>
      <w:tr w14:paraId="13FD1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F9B5019">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18</w:t>
            </w:r>
          </w:p>
        </w:tc>
        <w:tc>
          <w:tcPr>
            <w:tcW w:w="8163" w:type="dxa"/>
            <w:vAlign w:val="center"/>
          </w:tcPr>
          <w:p w14:paraId="368C9C34">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山东现代学院教材选用管理办法</w:t>
            </w:r>
          </w:p>
        </w:tc>
      </w:tr>
      <w:tr w14:paraId="7AF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A09F805">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19</w:t>
            </w:r>
          </w:p>
        </w:tc>
        <w:tc>
          <w:tcPr>
            <w:tcW w:w="8163" w:type="dxa"/>
            <w:vAlign w:val="center"/>
          </w:tcPr>
          <w:p w14:paraId="3BCC1145">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2"/>
                <w:highlight w:val="none"/>
                <w:lang w:eastAsia="zh-CN"/>
              </w:rPr>
              <w:t>山东现代学院专业负责人管理办法</w:t>
            </w:r>
          </w:p>
        </w:tc>
      </w:tr>
      <w:tr w14:paraId="4567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909FFDD">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20</w:t>
            </w:r>
          </w:p>
        </w:tc>
        <w:tc>
          <w:tcPr>
            <w:tcW w:w="8163" w:type="dxa"/>
            <w:vAlign w:val="center"/>
          </w:tcPr>
          <w:p w14:paraId="504A228E">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山东现代学院课程负责人管理办法</w:t>
            </w:r>
          </w:p>
        </w:tc>
      </w:tr>
      <w:tr w14:paraId="4D12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82652C4">
            <w:pPr>
              <w:widowControl/>
              <w:kinsoku/>
              <w:spacing w:line="400" w:lineRule="exact"/>
              <w:jc w:val="center"/>
              <w:textAlignment w:val="auto"/>
              <w:rPr>
                <w:rFonts w:hint="default" w:ascii="宋体" w:hAnsi="宋体" w:eastAsia="宋体" w:cs="宋体"/>
                <w:highlight w:val="none"/>
                <w:lang w:val="en-US" w:eastAsia="zh-CN" w:bidi="ar"/>
              </w:rPr>
            </w:pPr>
            <w:r>
              <w:rPr>
                <w:rFonts w:hint="eastAsia" w:ascii="宋体" w:hAnsi="宋体" w:eastAsia="宋体" w:cs="宋体"/>
                <w:highlight w:val="none"/>
                <w:lang w:val="en-US" w:eastAsia="zh-CN" w:bidi="ar"/>
              </w:rPr>
              <w:t>21</w:t>
            </w:r>
          </w:p>
        </w:tc>
        <w:tc>
          <w:tcPr>
            <w:tcW w:w="8163" w:type="dxa"/>
            <w:vAlign w:val="center"/>
          </w:tcPr>
          <w:p w14:paraId="698552D8">
            <w:pPr>
              <w:widowControl/>
              <w:kinsoku/>
              <w:autoSpaceDE/>
              <w:autoSpaceDN/>
              <w:spacing w:line="400" w:lineRule="exact"/>
              <w:jc w:val="center"/>
              <w:textAlignment w:val="auto"/>
              <w:rPr>
                <w:rFonts w:hint="default"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山东现代学院课堂教学改革实施方案</w:t>
            </w:r>
          </w:p>
        </w:tc>
      </w:tr>
      <w:tr w14:paraId="68AEE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831FE96">
            <w:pPr>
              <w:widowControl/>
              <w:kinsoku/>
              <w:spacing w:line="400" w:lineRule="exact"/>
              <w:jc w:val="center"/>
              <w:textAlignment w:val="auto"/>
              <w:rPr>
                <w:rFonts w:hint="default" w:ascii="宋体" w:hAnsi="宋体" w:eastAsia="宋体" w:cs="宋体"/>
                <w:highlight w:val="none"/>
                <w:lang w:val="en-US" w:eastAsia="zh-CN" w:bidi="ar"/>
              </w:rPr>
            </w:pPr>
            <w:r>
              <w:rPr>
                <w:rFonts w:hint="eastAsia" w:ascii="宋体" w:hAnsi="宋体" w:eastAsia="宋体" w:cs="宋体"/>
                <w:highlight w:val="none"/>
                <w:lang w:val="en-US" w:eastAsia="zh-CN" w:bidi="ar"/>
              </w:rPr>
              <w:t>22</w:t>
            </w:r>
          </w:p>
        </w:tc>
        <w:tc>
          <w:tcPr>
            <w:tcW w:w="8163" w:type="dxa"/>
            <w:vAlign w:val="center"/>
          </w:tcPr>
          <w:p w14:paraId="0E9C5E4C">
            <w:pPr>
              <w:widowControl/>
              <w:kinsoku/>
              <w:autoSpaceDE/>
              <w:autoSpaceDN/>
              <w:spacing w:line="400" w:lineRule="exact"/>
              <w:jc w:val="center"/>
              <w:textAlignment w:val="auto"/>
              <w:rPr>
                <w:rFonts w:hint="eastAsia" w:ascii="宋体" w:hAnsi="宋体" w:eastAsia="宋体" w:cs="宋体"/>
                <w:spacing w:val="-1"/>
                <w:highlight w:val="none"/>
                <w:lang w:eastAsia="zh-CN"/>
              </w:rPr>
            </w:pPr>
            <w:r>
              <w:rPr>
                <w:rFonts w:hint="eastAsia" w:ascii="宋体" w:hAnsi="宋体" w:eastAsia="宋体" w:cs="宋体"/>
                <w:spacing w:val="-1"/>
                <w:highlight w:val="none"/>
                <w:lang w:val="en-US" w:eastAsia="zh-CN"/>
              </w:rPr>
              <w:t>山东现代学院</w:t>
            </w:r>
            <w:r>
              <w:rPr>
                <w:rFonts w:hint="eastAsia" w:ascii="宋体" w:hAnsi="宋体" w:eastAsia="宋体" w:cs="宋体"/>
                <w:spacing w:val="-1"/>
                <w:highlight w:val="none"/>
                <w:lang w:eastAsia="zh-CN"/>
              </w:rPr>
              <w:t>专业认证工作实施方案</w:t>
            </w:r>
          </w:p>
        </w:tc>
      </w:tr>
      <w:tr w14:paraId="2FE9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43F4260">
            <w:pPr>
              <w:widowControl/>
              <w:kinsoku/>
              <w:spacing w:line="400" w:lineRule="exact"/>
              <w:jc w:val="center"/>
              <w:textAlignment w:val="auto"/>
              <w:rPr>
                <w:rFonts w:hint="default" w:ascii="宋体" w:hAnsi="宋体" w:eastAsia="宋体" w:cs="宋体"/>
                <w:highlight w:val="none"/>
                <w:lang w:val="en-US" w:eastAsia="zh-CN" w:bidi="ar"/>
              </w:rPr>
            </w:pPr>
            <w:r>
              <w:rPr>
                <w:rFonts w:hint="eastAsia" w:ascii="宋体" w:hAnsi="宋体" w:eastAsia="宋体" w:cs="宋体"/>
                <w:highlight w:val="none"/>
                <w:lang w:val="en-US" w:eastAsia="zh-CN" w:bidi="ar"/>
              </w:rPr>
              <w:t>23</w:t>
            </w:r>
          </w:p>
        </w:tc>
        <w:tc>
          <w:tcPr>
            <w:tcW w:w="8163" w:type="dxa"/>
            <w:vAlign w:val="center"/>
          </w:tcPr>
          <w:p w14:paraId="04F13CB3">
            <w:pPr>
              <w:widowControl/>
              <w:kinsoku/>
              <w:autoSpaceDE/>
              <w:autoSpaceDN/>
              <w:spacing w:line="400" w:lineRule="exact"/>
              <w:jc w:val="center"/>
              <w:textAlignment w:val="auto"/>
              <w:rPr>
                <w:rFonts w:hint="eastAsia" w:ascii="宋体" w:hAnsi="宋体" w:eastAsia="宋体" w:cs="宋体"/>
                <w:spacing w:val="-1"/>
                <w:highlight w:val="none"/>
                <w:lang w:eastAsia="zh-CN"/>
              </w:rPr>
            </w:pPr>
            <w:r>
              <w:rPr>
                <w:rFonts w:hint="eastAsia" w:ascii="宋体" w:hAnsi="宋体" w:eastAsia="宋体" w:cs="宋体"/>
                <w:spacing w:val="-1"/>
                <w:highlight w:val="none"/>
                <w:lang w:val="en-US" w:eastAsia="zh-CN"/>
              </w:rPr>
              <w:t>山东现代学院</w:t>
            </w:r>
            <w:r>
              <w:rPr>
                <w:rFonts w:hint="eastAsia" w:ascii="宋体" w:hAnsi="宋体" w:eastAsia="宋体" w:cs="宋体"/>
                <w:spacing w:val="-1"/>
                <w:highlight w:val="none"/>
                <w:lang w:eastAsia="zh-CN"/>
              </w:rPr>
              <w:t>专业带头人培养对象管理办法（试行）</w:t>
            </w:r>
          </w:p>
        </w:tc>
      </w:tr>
      <w:tr w14:paraId="3137E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62" w:type="dxa"/>
            <w:gridSpan w:val="2"/>
            <w:vAlign w:val="center"/>
          </w:tcPr>
          <w:p w14:paraId="02015C65">
            <w:pPr>
              <w:widowControl/>
              <w:kinsoku/>
              <w:autoSpaceDE/>
              <w:autoSpaceDN/>
              <w:spacing w:line="400" w:lineRule="exact"/>
              <w:jc w:val="center"/>
              <w:textAlignment w:val="auto"/>
              <w:rPr>
                <w:rFonts w:ascii="宋体" w:hAnsi="宋体" w:eastAsia="宋体" w:cs="宋体"/>
                <w:spacing w:val="-1"/>
                <w:highlight w:val="none"/>
              </w:rPr>
            </w:pPr>
            <w:r>
              <w:rPr>
                <w:rFonts w:hint="eastAsia" w:ascii="宋体" w:hAnsi="宋体" w:eastAsia="宋体" w:cs="宋体"/>
                <w:b/>
                <w:bCs/>
                <w:spacing w:val="-6"/>
                <w:highlight w:val="none"/>
              </w:rPr>
              <w:t>实践教学管理</w:t>
            </w:r>
          </w:p>
        </w:tc>
      </w:tr>
      <w:tr w14:paraId="3C335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25DEDA8">
            <w:pPr>
              <w:widowControl/>
              <w:kinsoku/>
              <w:spacing w:line="400" w:lineRule="exact"/>
              <w:jc w:val="center"/>
              <w:textAlignment w:val="auto"/>
              <w:rPr>
                <w:rFonts w:ascii="宋体" w:hAnsi="宋体" w:eastAsia="宋体" w:cs="宋体"/>
                <w:bCs/>
                <w:color w:val="auto"/>
                <w:highlight w:val="none"/>
              </w:rPr>
            </w:pPr>
            <w:r>
              <w:rPr>
                <w:rFonts w:hint="eastAsia" w:ascii="宋体" w:hAnsi="宋体" w:eastAsia="宋体" w:cs="宋体"/>
                <w:highlight w:val="none"/>
                <w:lang w:eastAsia="zh-CN" w:bidi="ar"/>
              </w:rPr>
              <w:t>2</w:t>
            </w:r>
            <w:r>
              <w:rPr>
                <w:rFonts w:hint="eastAsia" w:ascii="宋体" w:hAnsi="宋体" w:eastAsia="宋体" w:cs="宋体"/>
                <w:highlight w:val="none"/>
                <w:lang w:val="en-US" w:eastAsia="zh-CN" w:bidi="ar"/>
              </w:rPr>
              <w:t>4</w:t>
            </w:r>
          </w:p>
        </w:tc>
        <w:tc>
          <w:tcPr>
            <w:tcW w:w="8163" w:type="dxa"/>
            <w:vAlign w:val="center"/>
          </w:tcPr>
          <w:p w14:paraId="00170E5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山东现代学院实验教学管理办法</w:t>
            </w:r>
          </w:p>
        </w:tc>
      </w:tr>
      <w:tr w14:paraId="4980E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8B0014D">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25</w:t>
            </w:r>
          </w:p>
        </w:tc>
        <w:tc>
          <w:tcPr>
            <w:tcW w:w="8163" w:type="dxa"/>
            <w:vAlign w:val="center"/>
          </w:tcPr>
          <w:p w14:paraId="09B97E21">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山东现代学院实验实训教学中心建设及管理办法</w:t>
            </w:r>
          </w:p>
        </w:tc>
      </w:tr>
      <w:tr w14:paraId="00E6E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6C1017C">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26</w:t>
            </w:r>
          </w:p>
        </w:tc>
        <w:tc>
          <w:tcPr>
            <w:tcW w:w="8163" w:type="dxa"/>
            <w:vAlign w:val="center"/>
          </w:tcPr>
          <w:p w14:paraId="124891E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山东现代学院综合性、设计性、创新性实验管理办法</w:t>
            </w:r>
          </w:p>
        </w:tc>
      </w:tr>
      <w:tr w14:paraId="22D8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E61DD2D">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27</w:t>
            </w:r>
          </w:p>
        </w:tc>
        <w:tc>
          <w:tcPr>
            <w:tcW w:w="8163" w:type="dxa"/>
            <w:vAlign w:val="center"/>
          </w:tcPr>
          <w:p w14:paraId="15D353C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山东现代学院实验室耗材管理规定</w:t>
            </w:r>
          </w:p>
        </w:tc>
      </w:tr>
      <w:tr w14:paraId="5F893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1E63E4F">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28</w:t>
            </w:r>
          </w:p>
        </w:tc>
        <w:tc>
          <w:tcPr>
            <w:tcW w:w="8163" w:type="dxa"/>
            <w:vAlign w:val="center"/>
          </w:tcPr>
          <w:p w14:paraId="087F00FE">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山东现代学院实验室开放管理办法</w:t>
            </w:r>
          </w:p>
        </w:tc>
      </w:tr>
      <w:tr w14:paraId="24E28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39119FD">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29</w:t>
            </w:r>
          </w:p>
        </w:tc>
        <w:tc>
          <w:tcPr>
            <w:tcW w:w="8163" w:type="dxa"/>
            <w:vAlign w:val="center"/>
          </w:tcPr>
          <w:p w14:paraId="21C08DBC">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山东现代学院实验室安全管理办法</w:t>
            </w:r>
          </w:p>
        </w:tc>
      </w:tr>
      <w:tr w14:paraId="015A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1ADC71C">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30</w:t>
            </w:r>
          </w:p>
        </w:tc>
        <w:tc>
          <w:tcPr>
            <w:tcW w:w="8163" w:type="dxa"/>
            <w:vAlign w:val="center"/>
          </w:tcPr>
          <w:p w14:paraId="1253B886">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山东现代学院校外实践教学基地建设与管理办法</w:t>
            </w:r>
          </w:p>
        </w:tc>
      </w:tr>
      <w:tr w14:paraId="0A73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75746D7">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31</w:t>
            </w:r>
          </w:p>
        </w:tc>
        <w:tc>
          <w:tcPr>
            <w:tcW w:w="8163" w:type="dxa"/>
            <w:vAlign w:val="center"/>
          </w:tcPr>
          <w:p w14:paraId="7577299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山东现代学院实习工作管理办法</w:t>
            </w:r>
          </w:p>
        </w:tc>
      </w:tr>
      <w:tr w14:paraId="56FB5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7A2B0A0">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32</w:t>
            </w:r>
          </w:p>
        </w:tc>
        <w:tc>
          <w:tcPr>
            <w:tcW w:w="8163" w:type="dxa"/>
            <w:vAlign w:val="center"/>
          </w:tcPr>
          <w:p w14:paraId="67AAE2EC">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山东现代学院毕业论文（设计）工作管理办法</w:t>
            </w:r>
          </w:p>
        </w:tc>
      </w:tr>
      <w:tr w14:paraId="6B39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5301F16">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33</w:t>
            </w:r>
          </w:p>
        </w:tc>
        <w:tc>
          <w:tcPr>
            <w:tcW w:w="8163" w:type="dxa"/>
            <w:vAlign w:val="center"/>
          </w:tcPr>
          <w:p w14:paraId="6D19C45B">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山东现代学院毕业论文（设计）撰写规范</w:t>
            </w:r>
          </w:p>
        </w:tc>
      </w:tr>
      <w:tr w14:paraId="0CD1F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BD8121C">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34</w:t>
            </w:r>
          </w:p>
        </w:tc>
        <w:tc>
          <w:tcPr>
            <w:tcW w:w="8163" w:type="dxa"/>
            <w:vAlign w:val="center"/>
          </w:tcPr>
          <w:p w14:paraId="68D335BB">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山东现代学院关于进一步加强和改进第二课堂建设的实施意见</w:t>
            </w:r>
          </w:p>
        </w:tc>
      </w:tr>
      <w:tr w14:paraId="34AA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0F3A91C">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35</w:t>
            </w:r>
          </w:p>
        </w:tc>
        <w:tc>
          <w:tcPr>
            <w:tcW w:w="8163" w:type="dxa"/>
            <w:vAlign w:val="center"/>
          </w:tcPr>
          <w:p w14:paraId="2D9C56E5">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山东现代学院大学生竞赛组织与实施办法</w:t>
            </w:r>
          </w:p>
        </w:tc>
      </w:tr>
      <w:tr w14:paraId="0CCA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485A29D">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36</w:t>
            </w:r>
          </w:p>
        </w:tc>
        <w:tc>
          <w:tcPr>
            <w:tcW w:w="8163" w:type="dxa"/>
            <w:vAlign w:val="center"/>
          </w:tcPr>
          <w:p w14:paraId="1011F8B0">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山东现代学院本科实习经费管理办法（试行）</w:t>
            </w:r>
          </w:p>
        </w:tc>
      </w:tr>
      <w:tr w14:paraId="6D40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B66094C">
            <w:pPr>
              <w:widowControl/>
              <w:kinsoku/>
              <w:spacing w:line="400" w:lineRule="exact"/>
              <w:jc w:val="center"/>
              <w:textAlignment w:val="auto"/>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37</w:t>
            </w:r>
          </w:p>
        </w:tc>
        <w:tc>
          <w:tcPr>
            <w:tcW w:w="8163" w:type="dxa"/>
            <w:vAlign w:val="center"/>
          </w:tcPr>
          <w:p w14:paraId="17AB0EDA">
            <w:pPr>
              <w:widowControl/>
              <w:kinsoku/>
              <w:autoSpaceDE/>
              <w:autoSpaceDN/>
              <w:spacing w:line="400" w:lineRule="exact"/>
              <w:jc w:val="center"/>
              <w:textAlignment w:val="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val="en-US" w:eastAsia="zh-CN"/>
              </w:rPr>
              <w:t>山东现代学院现代产业学院建设与管理办法（试行）</w:t>
            </w:r>
          </w:p>
        </w:tc>
      </w:tr>
      <w:tr w14:paraId="319EE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170665E">
            <w:pPr>
              <w:widowControl/>
              <w:kinsoku/>
              <w:spacing w:line="400" w:lineRule="exact"/>
              <w:jc w:val="center"/>
              <w:textAlignment w:val="auto"/>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38</w:t>
            </w:r>
          </w:p>
        </w:tc>
        <w:tc>
          <w:tcPr>
            <w:tcW w:w="8163" w:type="dxa"/>
            <w:vAlign w:val="center"/>
          </w:tcPr>
          <w:p w14:paraId="7EA3F592">
            <w:pPr>
              <w:widowControl/>
              <w:kinsoku/>
              <w:autoSpaceDE/>
              <w:autoSpaceDN/>
              <w:spacing w:line="400" w:lineRule="exact"/>
              <w:jc w:val="center"/>
              <w:textAlignment w:val="auto"/>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lang w:val="en-US" w:eastAsia="zh-CN"/>
              </w:rPr>
              <w:t>山东现代学院大学生参加校外实践教学及各类竞赛活动安全管理办法</w:t>
            </w:r>
          </w:p>
        </w:tc>
      </w:tr>
      <w:tr w14:paraId="41FC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5AD195A">
            <w:pPr>
              <w:widowControl/>
              <w:kinsoku/>
              <w:spacing w:line="400" w:lineRule="exact"/>
              <w:jc w:val="center"/>
              <w:textAlignment w:val="auto"/>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39</w:t>
            </w:r>
          </w:p>
        </w:tc>
        <w:tc>
          <w:tcPr>
            <w:tcW w:w="8163" w:type="dxa"/>
            <w:vAlign w:val="center"/>
          </w:tcPr>
          <w:p w14:paraId="1A618882">
            <w:pPr>
              <w:widowControl/>
              <w:kinsoku/>
              <w:autoSpaceDE/>
              <w:autoSpaceDN/>
              <w:spacing w:line="400" w:lineRule="exact"/>
              <w:jc w:val="center"/>
              <w:textAlignment w:val="auto"/>
              <w:rPr>
                <w:rFonts w:hint="default"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山东现代学院现代产业学院建设与管理办法（试行）</w:t>
            </w:r>
          </w:p>
        </w:tc>
      </w:tr>
      <w:tr w14:paraId="5709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7956DEB">
            <w:pPr>
              <w:widowControl/>
              <w:kinsoku/>
              <w:spacing w:line="400" w:lineRule="exact"/>
              <w:jc w:val="center"/>
              <w:textAlignment w:val="auto"/>
              <w:rPr>
                <w:rFonts w:hint="default" w:ascii="宋体" w:hAnsi="宋体" w:eastAsia="宋体" w:cs="宋体"/>
                <w:color w:val="auto"/>
                <w:highlight w:val="none"/>
                <w:lang w:val="en-US" w:eastAsia="zh-CN" w:bidi="ar"/>
              </w:rPr>
            </w:pPr>
            <w:r>
              <w:rPr>
                <w:rFonts w:hint="eastAsia" w:ascii="宋体" w:hAnsi="宋体" w:eastAsia="宋体" w:cs="宋体"/>
                <w:color w:val="auto"/>
                <w:highlight w:val="none"/>
                <w:lang w:val="en-US" w:eastAsia="zh-CN" w:bidi="ar"/>
              </w:rPr>
              <w:t>40</w:t>
            </w:r>
          </w:p>
        </w:tc>
        <w:tc>
          <w:tcPr>
            <w:tcW w:w="8163" w:type="dxa"/>
            <w:vAlign w:val="center"/>
          </w:tcPr>
          <w:p w14:paraId="04B3A637">
            <w:pPr>
              <w:widowControl/>
              <w:kinsoku/>
              <w:autoSpaceDE/>
              <w:autoSpaceDN/>
              <w:spacing w:line="400" w:lineRule="exact"/>
              <w:jc w:val="center"/>
              <w:textAlignment w:val="auto"/>
              <w:rPr>
                <w:rFonts w:hint="default"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山东现代学院大学生参加校外实践教学及各类竞赛活动安全管理办法</w:t>
            </w:r>
          </w:p>
        </w:tc>
      </w:tr>
      <w:tr w14:paraId="39697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62" w:type="dxa"/>
            <w:gridSpan w:val="2"/>
            <w:vAlign w:val="center"/>
          </w:tcPr>
          <w:p w14:paraId="02E5E6F3">
            <w:pPr>
              <w:widowControl/>
              <w:kinsoku/>
              <w:autoSpaceDE/>
              <w:autoSpaceDN/>
              <w:spacing w:line="400" w:lineRule="exact"/>
              <w:jc w:val="center"/>
              <w:textAlignment w:val="auto"/>
              <w:rPr>
                <w:rFonts w:ascii="宋体" w:hAnsi="宋体" w:eastAsia="宋体" w:cs="宋体"/>
                <w:spacing w:val="-1"/>
                <w:highlight w:val="none"/>
              </w:rPr>
            </w:pPr>
            <w:r>
              <w:rPr>
                <w:rFonts w:hint="eastAsia" w:ascii="宋体" w:hAnsi="宋体" w:eastAsia="宋体" w:cs="宋体"/>
                <w:b/>
                <w:bCs/>
                <w:spacing w:val="-8"/>
                <w:highlight w:val="none"/>
              </w:rPr>
              <w:t>教学运行管理</w:t>
            </w:r>
          </w:p>
        </w:tc>
      </w:tr>
      <w:tr w14:paraId="1863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FC7C74F">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41</w:t>
            </w:r>
          </w:p>
        </w:tc>
        <w:tc>
          <w:tcPr>
            <w:tcW w:w="8163" w:type="dxa"/>
            <w:vAlign w:val="center"/>
          </w:tcPr>
          <w:p w14:paraId="1095053A">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山东现代学院教学管理工作规范</w:t>
            </w:r>
          </w:p>
        </w:tc>
      </w:tr>
      <w:tr w14:paraId="35D6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4CAB5B4">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42</w:t>
            </w:r>
          </w:p>
        </w:tc>
        <w:tc>
          <w:tcPr>
            <w:tcW w:w="8163" w:type="dxa"/>
            <w:vAlign w:val="center"/>
          </w:tcPr>
          <w:p w14:paraId="5927FFC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山东现代学院教师教学工作规范</w:t>
            </w:r>
          </w:p>
        </w:tc>
      </w:tr>
      <w:tr w14:paraId="79FC5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52BF4B7">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43</w:t>
            </w:r>
          </w:p>
        </w:tc>
        <w:tc>
          <w:tcPr>
            <w:tcW w:w="8163" w:type="dxa"/>
            <w:vAlign w:val="center"/>
          </w:tcPr>
          <w:p w14:paraId="0575E362">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山东现代学院教学管理人员工作规范</w:t>
            </w:r>
          </w:p>
        </w:tc>
      </w:tr>
      <w:tr w14:paraId="7422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38BC8B9">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44</w:t>
            </w:r>
          </w:p>
        </w:tc>
        <w:tc>
          <w:tcPr>
            <w:tcW w:w="8163" w:type="dxa"/>
            <w:vAlign w:val="center"/>
          </w:tcPr>
          <w:p w14:paraId="145FBD7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4"/>
                <w:highlight w:val="none"/>
                <w:lang w:eastAsia="zh-CN"/>
              </w:rPr>
              <w:t>山东现代学院教研室建设及管理办法</w:t>
            </w:r>
          </w:p>
        </w:tc>
      </w:tr>
      <w:tr w14:paraId="5C08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4370E3B">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45</w:t>
            </w:r>
          </w:p>
        </w:tc>
        <w:tc>
          <w:tcPr>
            <w:tcW w:w="8163" w:type="dxa"/>
            <w:vAlign w:val="center"/>
          </w:tcPr>
          <w:p w14:paraId="2B2EABA7">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山东现代学院期末考试命题规范（</w:t>
            </w:r>
            <w:r>
              <w:rPr>
                <w:rFonts w:hint="eastAsia" w:ascii="宋体" w:hAnsi="宋体" w:eastAsia="宋体" w:cs="宋体"/>
                <w:spacing w:val="-1"/>
                <w:highlight w:val="none"/>
                <w:lang w:val="en-US" w:eastAsia="zh-CN"/>
              </w:rPr>
              <w:t>修订</w:t>
            </w:r>
            <w:r>
              <w:rPr>
                <w:rFonts w:hint="eastAsia" w:ascii="宋体" w:hAnsi="宋体" w:eastAsia="宋体" w:cs="宋体"/>
                <w:spacing w:val="-1"/>
                <w:highlight w:val="none"/>
                <w:lang w:eastAsia="zh-CN"/>
              </w:rPr>
              <w:t>）</w:t>
            </w:r>
          </w:p>
        </w:tc>
      </w:tr>
      <w:tr w14:paraId="34A6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901BF2D">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46</w:t>
            </w:r>
          </w:p>
        </w:tc>
        <w:tc>
          <w:tcPr>
            <w:tcW w:w="8163" w:type="dxa"/>
            <w:vAlign w:val="center"/>
          </w:tcPr>
          <w:p w14:paraId="7547AB12">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山东现代学院全日制学生学分制管理规定</w:t>
            </w:r>
          </w:p>
        </w:tc>
      </w:tr>
      <w:tr w14:paraId="60FE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5DB241A">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47</w:t>
            </w:r>
          </w:p>
        </w:tc>
        <w:tc>
          <w:tcPr>
            <w:tcW w:w="8163" w:type="dxa"/>
            <w:vAlign w:val="center"/>
          </w:tcPr>
          <w:p w14:paraId="31634933">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山东现代学院学分制选课管理办法</w:t>
            </w:r>
          </w:p>
        </w:tc>
      </w:tr>
      <w:tr w14:paraId="4A84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1ABAE3A">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48</w:t>
            </w:r>
          </w:p>
        </w:tc>
        <w:tc>
          <w:tcPr>
            <w:tcW w:w="8163" w:type="dxa"/>
            <w:vAlign w:val="center"/>
          </w:tcPr>
          <w:p w14:paraId="2E583A40">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山东现代学院学分制课程重修管理办法</w:t>
            </w:r>
          </w:p>
        </w:tc>
      </w:tr>
      <w:tr w14:paraId="6113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A8A9D61">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49</w:t>
            </w:r>
          </w:p>
        </w:tc>
        <w:tc>
          <w:tcPr>
            <w:tcW w:w="8163" w:type="dxa"/>
            <w:vAlign w:val="center"/>
          </w:tcPr>
          <w:p w14:paraId="760944B7">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山东现代学院学分互认管理办法</w:t>
            </w:r>
          </w:p>
        </w:tc>
      </w:tr>
      <w:tr w14:paraId="4615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7CC89FC">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50</w:t>
            </w:r>
          </w:p>
        </w:tc>
        <w:tc>
          <w:tcPr>
            <w:tcW w:w="8163" w:type="dxa"/>
            <w:vAlign w:val="center"/>
          </w:tcPr>
          <w:p w14:paraId="599ECF80">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w:t>
            </w:r>
            <w:r>
              <w:rPr>
                <w:rFonts w:hint="eastAsia" w:ascii="宋体" w:hAnsi="宋体" w:eastAsia="宋体" w:cs="宋体"/>
                <w:spacing w:val="-1"/>
                <w:highlight w:val="none"/>
                <w:lang w:val="en-US" w:eastAsia="zh-CN"/>
              </w:rPr>
              <w:t>血液考核工作管理</w:t>
            </w:r>
            <w:r>
              <w:rPr>
                <w:rFonts w:hint="eastAsia" w:ascii="宋体" w:hAnsi="宋体" w:eastAsia="宋体" w:cs="宋体"/>
                <w:spacing w:val="-1"/>
                <w:highlight w:val="none"/>
                <w:lang w:eastAsia="zh-CN"/>
              </w:rPr>
              <w:t>办法</w:t>
            </w:r>
          </w:p>
        </w:tc>
      </w:tr>
      <w:tr w14:paraId="1030A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7ECFE65">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51</w:t>
            </w:r>
          </w:p>
        </w:tc>
        <w:tc>
          <w:tcPr>
            <w:tcW w:w="8163" w:type="dxa"/>
            <w:vAlign w:val="center"/>
          </w:tcPr>
          <w:p w14:paraId="0D8BFD4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山东现代学院考试工作管理规定</w:t>
            </w:r>
          </w:p>
        </w:tc>
      </w:tr>
      <w:tr w14:paraId="56D3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7C726E7">
            <w:pPr>
              <w:widowControl/>
              <w:kinsoku/>
              <w:spacing w:line="400" w:lineRule="exact"/>
              <w:jc w:val="center"/>
              <w:textAlignment w:val="auto"/>
              <w:rPr>
                <w:rFonts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52</w:t>
            </w:r>
          </w:p>
        </w:tc>
        <w:tc>
          <w:tcPr>
            <w:tcW w:w="8163" w:type="dxa"/>
            <w:vAlign w:val="center"/>
          </w:tcPr>
          <w:p w14:paraId="5155C045">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山东现代学院学生成绩管理办法</w:t>
            </w:r>
          </w:p>
        </w:tc>
      </w:tr>
      <w:tr w14:paraId="7BB90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49FB872">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53</w:t>
            </w:r>
          </w:p>
        </w:tc>
        <w:tc>
          <w:tcPr>
            <w:tcW w:w="8163" w:type="dxa"/>
            <w:vAlign w:val="center"/>
          </w:tcPr>
          <w:p w14:paraId="65076EC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山东现代学院学生考试违规行为认定与处理办法</w:t>
            </w:r>
          </w:p>
        </w:tc>
      </w:tr>
      <w:tr w14:paraId="79F2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EBA6958">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54</w:t>
            </w:r>
          </w:p>
        </w:tc>
        <w:tc>
          <w:tcPr>
            <w:tcW w:w="8163" w:type="dxa"/>
            <w:vAlign w:val="center"/>
          </w:tcPr>
          <w:p w14:paraId="5A753CCE">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山东现代学院学业预警管理办法</w:t>
            </w:r>
          </w:p>
        </w:tc>
      </w:tr>
      <w:tr w14:paraId="43CC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80E5B31">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55</w:t>
            </w:r>
          </w:p>
        </w:tc>
        <w:tc>
          <w:tcPr>
            <w:tcW w:w="8163" w:type="dxa"/>
            <w:vAlign w:val="center"/>
          </w:tcPr>
          <w:p w14:paraId="08D1CA7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山东现代学院本科生学业导师管理办法</w:t>
            </w:r>
          </w:p>
        </w:tc>
      </w:tr>
      <w:tr w14:paraId="3FB74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21951D7">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56</w:t>
            </w:r>
          </w:p>
        </w:tc>
        <w:tc>
          <w:tcPr>
            <w:tcW w:w="8163" w:type="dxa"/>
            <w:vAlign w:val="center"/>
          </w:tcPr>
          <w:p w14:paraId="7C035B3D">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山东现代学院排课管理办法</w:t>
            </w:r>
          </w:p>
        </w:tc>
      </w:tr>
      <w:tr w14:paraId="0D92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72C622D">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57</w:t>
            </w:r>
          </w:p>
        </w:tc>
        <w:tc>
          <w:tcPr>
            <w:tcW w:w="8163" w:type="dxa"/>
            <w:vAlign w:val="center"/>
          </w:tcPr>
          <w:p w14:paraId="72B6E027">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山东现代学院调课、代课、停课、补课管理办法</w:t>
            </w:r>
          </w:p>
        </w:tc>
      </w:tr>
      <w:tr w14:paraId="5E73A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6AB523B">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58</w:t>
            </w:r>
          </w:p>
        </w:tc>
        <w:tc>
          <w:tcPr>
            <w:tcW w:w="8163" w:type="dxa"/>
            <w:vAlign w:val="center"/>
          </w:tcPr>
          <w:p w14:paraId="6CF31B2D">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山东现代学院教学档案管理办法</w:t>
            </w:r>
          </w:p>
        </w:tc>
      </w:tr>
      <w:tr w14:paraId="3AAD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291DDC1">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59</w:t>
            </w:r>
          </w:p>
        </w:tc>
        <w:tc>
          <w:tcPr>
            <w:tcW w:w="8163" w:type="dxa"/>
            <w:vAlign w:val="center"/>
          </w:tcPr>
          <w:p w14:paraId="471AA41F">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4"/>
                <w:highlight w:val="none"/>
                <w:lang w:eastAsia="zh-CN"/>
              </w:rPr>
              <w:t>山东现代学院本科课程过程性考核管理办法</w:t>
            </w:r>
            <w:r>
              <w:rPr>
                <w:rFonts w:hint="eastAsia" w:ascii="宋体" w:hAnsi="宋体" w:eastAsia="宋体" w:cs="宋体"/>
                <w:spacing w:val="-15"/>
                <w:highlight w:val="none"/>
                <w:lang w:eastAsia="zh-CN"/>
              </w:rPr>
              <w:t>（试行）</w:t>
            </w:r>
          </w:p>
        </w:tc>
      </w:tr>
      <w:tr w14:paraId="5530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6E4D60C">
            <w:pPr>
              <w:widowControl/>
              <w:kinsoku/>
              <w:spacing w:line="400" w:lineRule="exact"/>
              <w:jc w:val="center"/>
              <w:textAlignment w:val="auto"/>
              <w:rPr>
                <w:rFonts w:hint="default" w:ascii="宋体" w:hAnsi="宋体" w:eastAsia="宋体" w:cs="宋体"/>
                <w:highlight w:val="none"/>
                <w:lang w:val="en-US" w:eastAsia="zh-CN" w:bidi="ar"/>
              </w:rPr>
            </w:pPr>
            <w:r>
              <w:rPr>
                <w:rFonts w:hint="eastAsia" w:ascii="宋体" w:hAnsi="宋体" w:eastAsia="宋体" w:cs="宋体"/>
                <w:highlight w:val="none"/>
                <w:lang w:val="en-US" w:eastAsia="zh-CN" w:bidi="ar"/>
              </w:rPr>
              <w:t>60</w:t>
            </w:r>
          </w:p>
        </w:tc>
        <w:tc>
          <w:tcPr>
            <w:tcW w:w="8163" w:type="dxa"/>
            <w:vAlign w:val="center"/>
          </w:tcPr>
          <w:p w14:paraId="28540D40">
            <w:pPr>
              <w:widowControl/>
              <w:kinsoku/>
              <w:autoSpaceDE/>
              <w:autoSpaceDN/>
              <w:spacing w:line="400" w:lineRule="exact"/>
              <w:jc w:val="center"/>
              <w:textAlignment w:val="auto"/>
              <w:rPr>
                <w:rFonts w:hint="eastAsia" w:ascii="宋体" w:hAnsi="宋体" w:eastAsia="宋体" w:cs="宋体"/>
                <w:spacing w:val="-14"/>
                <w:highlight w:val="none"/>
                <w:lang w:eastAsia="zh-CN"/>
              </w:rPr>
            </w:pPr>
            <w:r>
              <w:rPr>
                <w:rFonts w:hint="eastAsia" w:ascii="宋体" w:hAnsi="宋体" w:eastAsia="宋体" w:cs="宋体"/>
                <w:spacing w:val="-14"/>
                <w:highlight w:val="none"/>
                <w:lang w:val="en-US" w:eastAsia="zh-CN"/>
              </w:rPr>
              <w:t>山东现代学院</w:t>
            </w:r>
            <w:r>
              <w:rPr>
                <w:rFonts w:hint="eastAsia" w:ascii="宋体" w:hAnsi="宋体" w:eastAsia="宋体" w:cs="宋体"/>
                <w:spacing w:val="-14"/>
                <w:highlight w:val="none"/>
                <w:lang w:eastAsia="zh-CN"/>
              </w:rPr>
              <w:t>基层教学组织建设与管理办法</w:t>
            </w:r>
          </w:p>
        </w:tc>
      </w:tr>
      <w:tr w14:paraId="1FEA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5E16DB5">
            <w:pPr>
              <w:widowControl/>
              <w:kinsoku/>
              <w:spacing w:line="400" w:lineRule="exact"/>
              <w:jc w:val="center"/>
              <w:textAlignment w:val="auto"/>
              <w:rPr>
                <w:rFonts w:hint="default" w:ascii="宋体" w:hAnsi="宋体" w:eastAsia="宋体" w:cs="宋体"/>
                <w:highlight w:val="none"/>
                <w:lang w:val="en-US" w:eastAsia="zh-CN" w:bidi="ar"/>
              </w:rPr>
            </w:pPr>
            <w:r>
              <w:rPr>
                <w:rFonts w:hint="eastAsia" w:ascii="宋体" w:hAnsi="宋体" w:eastAsia="宋体" w:cs="宋体"/>
                <w:highlight w:val="none"/>
                <w:lang w:val="en-US" w:eastAsia="zh-CN" w:bidi="ar"/>
              </w:rPr>
              <w:t>61</w:t>
            </w:r>
          </w:p>
        </w:tc>
        <w:tc>
          <w:tcPr>
            <w:tcW w:w="8163" w:type="dxa"/>
            <w:vAlign w:val="center"/>
          </w:tcPr>
          <w:p w14:paraId="1C533E4E">
            <w:pPr>
              <w:widowControl/>
              <w:kinsoku/>
              <w:autoSpaceDE/>
              <w:autoSpaceDN/>
              <w:spacing w:line="400" w:lineRule="exact"/>
              <w:jc w:val="center"/>
              <w:textAlignment w:val="auto"/>
              <w:rPr>
                <w:rFonts w:hint="eastAsia" w:ascii="宋体" w:hAnsi="宋体" w:eastAsia="宋体" w:cs="宋体"/>
                <w:spacing w:val="-14"/>
                <w:highlight w:val="none"/>
                <w:lang w:eastAsia="zh-CN"/>
              </w:rPr>
            </w:pPr>
            <w:r>
              <w:rPr>
                <w:rFonts w:hint="eastAsia" w:ascii="宋体" w:hAnsi="宋体" w:eastAsia="宋体" w:cs="宋体"/>
                <w:spacing w:val="-14"/>
                <w:highlight w:val="none"/>
                <w:lang w:val="en-US" w:eastAsia="zh-CN"/>
              </w:rPr>
              <w:t>山东现代学院</w:t>
            </w:r>
            <w:r>
              <w:rPr>
                <w:rFonts w:hint="eastAsia" w:ascii="宋体" w:hAnsi="宋体" w:eastAsia="宋体" w:cs="宋体"/>
                <w:spacing w:val="-14"/>
                <w:highlight w:val="none"/>
                <w:lang w:eastAsia="zh-CN"/>
              </w:rPr>
              <w:t>教师教学能力提升行动实施方案</w:t>
            </w:r>
          </w:p>
        </w:tc>
      </w:tr>
      <w:tr w14:paraId="1C6E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43419878">
            <w:pPr>
              <w:widowControl/>
              <w:kinsoku/>
              <w:spacing w:line="400" w:lineRule="exact"/>
              <w:jc w:val="center"/>
              <w:textAlignment w:val="auto"/>
              <w:rPr>
                <w:rFonts w:hint="default" w:ascii="宋体" w:hAnsi="宋体" w:eastAsia="宋体" w:cs="宋体"/>
                <w:highlight w:val="none"/>
                <w:lang w:val="en-US" w:eastAsia="zh-CN" w:bidi="ar"/>
              </w:rPr>
            </w:pPr>
            <w:r>
              <w:rPr>
                <w:rFonts w:hint="eastAsia" w:ascii="宋体" w:hAnsi="宋体" w:eastAsia="宋体" w:cs="宋体"/>
                <w:highlight w:val="none"/>
                <w:lang w:val="en-US" w:eastAsia="zh-CN" w:bidi="ar"/>
              </w:rPr>
              <w:t>62</w:t>
            </w:r>
          </w:p>
        </w:tc>
        <w:tc>
          <w:tcPr>
            <w:tcW w:w="8163" w:type="dxa"/>
            <w:vAlign w:val="center"/>
          </w:tcPr>
          <w:p w14:paraId="07E5B60E">
            <w:pPr>
              <w:widowControl/>
              <w:kinsoku/>
              <w:autoSpaceDE/>
              <w:autoSpaceDN/>
              <w:spacing w:line="400" w:lineRule="exact"/>
              <w:jc w:val="center"/>
              <w:textAlignment w:val="auto"/>
              <w:rPr>
                <w:rFonts w:hint="default" w:ascii="宋体" w:hAnsi="宋体" w:eastAsia="宋体" w:cs="宋体"/>
                <w:spacing w:val="-14"/>
                <w:highlight w:val="none"/>
                <w:lang w:val="en-US" w:eastAsia="zh-CN"/>
              </w:rPr>
            </w:pPr>
            <w:r>
              <w:rPr>
                <w:rFonts w:hint="eastAsia" w:ascii="宋体" w:hAnsi="宋体" w:eastAsia="宋体" w:cs="宋体"/>
                <w:spacing w:val="-14"/>
                <w:highlight w:val="none"/>
                <w:lang w:val="en-US" w:eastAsia="zh-CN"/>
              </w:rPr>
              <w:t>山东现代学院青年教师能力提升计划实施方案</w:t>
            </w:r>
          </w:p>
        </w:tc>
      </w:tr>
      <w:tr w14:paraId="3978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62" w:type="dxa"/>
            <w:gridSpan w:val="2"/>
            <w:vAlign w:val="center"/>
          </w:tcPr>
          <w:p w14:paraId="7A74D45F">
            <w:pPr>
              <w:widowControl/>
              <w:kinsoku/>
              <w:autoSpaceDE/>
              <w:autoSpaceDN/>
              <w:spacing w:line="400" w:lineRule="exact"/>
              <w:jc w:val="center"/>
              <w:textAlignment w:val="auto"/>
              <w:rPr>
                <w:rFonts w:ascii="宋体" w:hAnsi="宋体" w:eastAsia="宋体" w:cs="宋体"/>
                <w:spacing w:val="-1"/>
                <w:highlight w:val="none"/>
              </w:rPr>
            </w:pPr>
            <w:r>
              <w:rPr>
                <w:rFonts w:hint="eastAsia" w:ascii="宋体" w:hAnsi="宋体" w:eastAsia="宋体" w:cs="宋体"/>
                <w:b/>
                <w:bCs/>
                <w:spacing w:val="-5"/>
                <w:highlight w:val="none"/>
              </w:rPr>
              <w:t>学籍与学位管理</w:t>
            </w:r>
          </w:p>
        </w:tc>
      </w:tr>
      <w:tr w14:paraId="25C6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F251608">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63</w:t>
            </w:r>
          </w:p>
        </w:tc>
        <w:tc>
          <w:tcPr>
            <w:tcW w:w="8163" w:type="dxa"/>
            <w:vAlign w:val="center"/>
          </w:tcPr>
          <w:p w14:paraId="6E973481">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山东现代学院学生学籍管理规定（修订）</w:t>
            </w:r>
          </w:p>
        </w:tc>
      </w:tr>
      <w:tr w14:paraId="0817C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45001A6">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64</w:t>
            </w:r>
          </w:p>
        </w:tc>
        <w:tc>
          <w:tcPr>
            <w:tcW w:w="8163" w:type="dxa"/>
            <w:vAlign w:val="center"/>
          </w:tcPr>
          <w:p w14:paraId="6112C30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山东现代学院学生学籍学历电子注册实施办法（修订）</w:t>
            </w:r>
          </w:p>
        </w:tc>
      </w:tr>
      <w:tr w14:paraId="1F82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04794D4D">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65</w:t>
            </w:r>
          </w:p>
        </w:tc>
        <w:tc>
          <w:tcPr>
            <w:tcW w:w="8163" w:type="dxa"/>
            <w:vAlign w:val="center"/>
          </w:tcPr>
          <w:p w14:paraId="57E8E6C1">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山东现代学院学生学籍注销管理规定（修订）</w:t>
            </w:r>
          </w:p>
        </w:tc>
      </w:tr>
      <w:tr w14:paraId="3CE0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2B9BC911">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66</w:t>
            </w:r>
          </w:p>
        </w:tc>
        <w:tc>
          <w:tcPr>
            <w:tcW w:w="8163" w:type="dxa"/>
            <w:vAlign w:val="center"/>
          </w:tcPr>
          <w:p w14:paraId="3497351A">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山东现代学院学士学位授予</w:t>
            </w:r>
            <w:r>
              <w:rPr>
                <w:rFonts w:hint="eastAsia" w:ascii="宋体" w:hAnsi="宋体" w:eastAsia="宋体" w:cs="宋体"/>
                <w:spacing w:val="-1"/>
                <w:highlight w:val="none"/>
                <w:lang w:val="en-US" w:eastAsia="zh-CN"/>
              </w:rPr>
              <w:t>实施细则</w:t>
            </w:r>
          </w:p>
        </w:tc>
      </w:tr>
      <w:tr w14:paraId="3A30B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6C10691">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67</w:t>
            </w:r>
          </w:p>
        </w:tc>
        <w:tc>
          <w:tcPr>
            <w:tcW w:w="8163" w:type="dxa"/>
            <w:vAlign w:val="center"/>
          </w:tcPr>
          <w:p w14:paraId="319E0870">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山东现代学院学位评定委员会章程</w:t>
            </w:r>
          </w:p>
        </w:tc>
      </w:tr>
      <w:tr w14:paraId="5190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AAE8A42">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68</w:t>
            </w:r>
          </w:p>
        </w:tc>
        <w:tc>
          <w:tcPr>
            <w:tcW w:w="8163" w:type="dxa"/>
            <w:vAlign w:val="center"/>
          </w:tcPr>
          <w:p w14:paraId="156ACBB9">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山东现代学院学位论文作假行为处理办法</w:t>
            </w:r>
          </w:p>
        </w:tc>
      </w:tr>
      <w:tr w14:paraId="5CDB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062" w:type="dxa"/>
            <w:gridSpan w:val="2"/>
            <w:vAlign w:val="center"/>
          </w:tcPr>
          <w:p w14:paraId="227FA08C">
            <w:pPr>
              <w:widowControl/>
              <w:kinsoku/>
              <w:autoSpaceDE/>
              <w:autoSpaceDN/>
              <w:spacing w:line="400" w:lineRule="exact"/>
              <w:jc w:val="center"/>
              <w:textAlignment w:val="auto"/>
              <w:rPr>
                <w:rFonts w:ascii="宋体" w:hAnsi="宋体" w:eastAsia="宋体" w:cs="宋体"/>
                <w:spacing w:val="-39"/>
                <w:w w:val="96"/>
                <w:highlight w:val="none"/>
              </w:rPr>
            </w:pPr>
            <w:r>
              <w:rPr>
                <w:rFonts w:hint="eastAsia" w:ascii="宋体" w:hAnsi="宋体" w:eastAsia="宋体" w:cs="宋体"/>
                <w:b/>
                <w:bCs/>
                <w:spacing w:val="-6"/>
                <w:highlight w:val="none"/>
              </w:rPr>
              <w:t>教学质量管理</w:t>
            </w:r>
          </w:p>
        </w:tc>
      </w:tr>
      <w:tr w14:paraId="74B57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25BE963">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69</w:t>
            </w:r>
          </w:p>
        </w:tc>
        <w:tc>
          <w:tcPr>
            <w:tcW w:w="8163" w:type="dxa"/>
            <w:vAlign w:val="center"/>
          </w:tcPr>
          <w:p w14:paraId="640309E4">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山东现代学院推动课堂教学改革全面提高学校人才培养质量的实施方案</w:t>
            </w:r>
          </w:p>
        </w:tc>
      </w:tr>
      <w:tr w14:paraId="3B85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6744D1B">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70</w:t>
            </w:r>
          </w:p>
        </w:tc>
        <w:tc>
          <w:tcPr>
            <w:tcW w:w="8163" w:type="dxa"/>
            <w:vAlign w:val="center"/>
          </w:tcPr>
          <w:p w14:paraId="150B567D">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山东现代学院听课制度（修订）</w:t>
            </w:r>
          </w:p>
        </w:tc>
      </w:tr>
      <w:tr w14:paraId="4E79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D7FF086">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71</w:t>
            </w:r>
          </w:p>
        </w:tc>
        <w:tc>
          <w:tcPr>
            <w:tcW w:w="8163" w:type="dxa"/>
            <w:vAlign w:val="center"/>
          </w:tcPr>
          <w:p w14:paraId="103C245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山东现代学院教学事故认定与处理办法（修订）</w:t>
            </w:r>
          </w:p>
        </w:tc>
      </w:tr>
      <w:tr w14:paraId="131F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66A1B16E">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72</w:t>
            </w:r>
          </w:p>
        </w:tc>
        <w:tc>
          <w:tcPr>
            <w:tcW w:w="8163" w:type="dxa"/>
            <w:vAlign w:val="center"/>
          </w:tcPr>
          <w:p w14:paraId="6299496A">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山东现代学院教学改革项目管理办法</w:t>
            </w:r>
          </w:p>
        </w:tc>
      </w:tr>
      <w:tr w14:paraId="4813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59389B0D">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73</w:t>
            </w:r>
          </w:p>
        </w:tc>
        <w:tc>
          <w:tcPr>
            <w:tcW w:w="8163" w:type="dxa"/>
            <w:vAlign w:val="center"/>
          </w:tcPr>
          <w:p w14:paraId="02A0487D">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山东现代学院教学成果奖评选办法</w:t>
            </w:r>
          </w:p>
        </w:tc>
      </w:tr>
      <w:tr w14:paraId="6BC4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150F0B5A">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74</w:t>
            </w:r>
          </w:p>
        </w:tc>
        <w:tc>
          <w:tcPr>
            <w:tcW w:w="8163" w:type="dxa"/>
            <w:vAlign w:val="center"/>
          </w:tcPr>
          <w:p w14:paraId="3A4A466B">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山东现代学院教学奖励办法（修订）</w:t>
            </w:r>
          </w:p>
        </w:tc>
      </w:tr>
      <w:tr w14:paraId="2BC0E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343E39DD">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75</w:t>
            </w:r>
          </w:p>
        </w:tc>
        <w:tc>
          <w:tcPr>
            <w:tcW w:w="8163" w:type="dxa"/>
            <w:vAlign w:val="center"/>
          </w:tcPr>
          <w:p w14:paraId="77B95BB1">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山东现代学院教学质量奖评选办法</w:t>
            </w:r>
          </w:p>
        </w:tc>
      </w:tr>
      <w:tr w14:paraId="545D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blHeader/>
        </w:trPr>
        <w:tc>
          <w:tcPr>
            <w:tcW w:w="899" w:type="dxa"/>
            <w:vAlign w:val="center"/>
          </w:tcPr>
          <w:p w14:paraId="6FC0764E">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76</w:t>
            </w:r>
          </w:p>
        </w:tc>
        <w:tc>
          <w:tcPr>
            <w:tcW w:w="8163" w:type="dxa"/>
            <w:vAlign w:val="center"/>
          </w:tcPr>
          <w:p w14:paraId="79D2ADCB">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山东现代学院教学名师评选与管理办法</w:t>
            </w:r>
          </w:p>
        </w:tc>
      </w:tr>
      <w:tr w14:paraId="6AFB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blHeader/>
        </w:trPr>
        <w:tc>
          <w:tcPr>
            <w:tcW w:w="899" w:type="dxa"/>
            <w:vAlign w:val="center"/>
          </w:tcPr>
          <w:p w14:paraId="5EBAA4ED">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77</w:t>
            </w:r>
          </w:p>
        </w:tc>
        <w:tc>
          <w:tcPr>
            <w:tcW w:w="8163" w:type="dxa"/>
            <w:vAlign w:val="center"/>
          </w:tcPr>
          <w:p w14:paraId="4FE79397">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山东现代学院教学团队建设与管理办法</w:t>
            </w:r>
          </w:p>
        </w:tc>
      </w:tr>
      <w:tr w14:paraId="4222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23EDA69">
            <w:pPr>
              <w:widowControl/>
              <w:kinsoku/>
              <w:spacing w:line="400" w:lineRule="exact"/>
              <w:jc w:val="center"/>
              <w:textAlignment w:val="auto"/>
              <w:rPr>
                <w:rFonts w:hint="default" w:ascii="宋体" w:hAnsi="宋体" w:eastAsia="宋体" w:cs="宋体"/>
                <w:bCs/>
                <w:snapToGrid w:val="0"/>
                <w:color w:val="auto"/>
                <w:sz w:val="21"/>
                <w:szCs w:val="21"/>
                <w:highlight w:val="none"/>
                <w:lang w:val="en-US" w:eastAsia="en-US" w:bidi="ar-SA"/>
              </w:rPr>
            </w:pPr>
            <w:r>
              <w:rPr>
                <w:rFonts w:hint="eastAsia" w:ascii="宋体" w:hAnsi="宋体" w:eastAsia="宋体" w:cs="宋体"/>
                <w:highlight w:val="none"/>
                <w:lang w:val="en-US" w:eastAsia="zh-CN" w:bidi="ar"/>
              </w:rPr>
              <w:t>78</w:t>
            </w:r>
          </w:p>
        </w:tc>
        <w:tc>
          <w:tcPr>
            <w:tcW w:w="8163" w:type="dxa"/>
            <w:vAlign w:val="center"/>
          </w:tcPr>
          <w:p w14:paraId="786B07F4">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山东现代学院校级优秀本科生毕业论文（设计）评选办法</w:t>
            </w:r>
          </w:p>
        </w:tc>
      </w:tr>
      <w:tr w14:paraId="51CE0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6A980F1">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79</w:t>
            </w:r>
          </w:p>
        </w:tc>
        <w:tc>
          <w:tcPr>
            <w:tcW w:w="8163" w:type="dxa"/>
            <w:vAlign w:val="center"/>
          </w:tcPr>
          <w:p w14:paraId="0613F96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山东现代学院校级高水平学科建设与管理办法</w:t>
            </w:r>
          </w:p>
        </w:tc>
      </w:tr>
      <w:tr w14:paraId="011BF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99" w:type="dxa"/>
            <w:vAlign w:val="center"/>
          </w:tcPr>
          <w:p w14:paraId="7F1A352E">
            <w:pPr>
              <w:widowControl/>
              <w:kinsoku/>
              <w:spacing w:line="400" w:lineRule="exact"/>
              <w:jc w:val="center"/>
              <w:textAlignment w:val="auto"/>
              <w:rPr>
                <w:rFonts w:hint="default" w:ascii="宋体" w:hAnsi="宋体" w:eastAsia="宋体" w:cs="宋体"/>
                <w:bCs/>
                <w:color w:val="auto"/>
                <w:highlight w:val="none"/>
                <w:lang w:val="en-US"/>
              </w:rPr>
            </w:pPr>
            <w:r>
              <w:rPr>
                <w:rFonts w:hint="eastAsia" w:ascii="宋体" w:hAnsi="宋体" w:eastAsia="宋体" w:cs="宋体"/>
                <w:highlight w:val="none"/>
                <w:lang w:val="en-US" w:eastAsia="zh-CN" w:bidi="ar"/>
              </w:rPr>
              <w:t>80</w:t>
            </w:r>
          </w:p>
        </w:tc>
        <w:tc>
          <w:tcPr>
            <w:tcW w:w="8163" w:type="dxa"/>
            <w:vAlign w:val="center"/>
          </w:tcPr>
          <w:p w14:paraId="47E9FB58">
            <w:pPr>
              <w:widowControl/>
              <w:kinsoku/>
              <w:autoSpaceDE/>
              <w:autoSpaceDN/>
              <w:spacing w:line="400" w:lineRule="exact"/>
              <w:jc w:val="center"/>
              <w:textAlignment w:val="auto"/>
              <w:rPr>
                <w:rFonts w:ascii="宋体" w:hAnsi="宋体" w:eastAsia="宋体" w:cs="宋体"/>
                <w:bCs/>
                <w:color w:val="auto"/>
                <w:highlight w:val="none"/>
                <w:lang w:eastAsia="zh-CN"/>
              </w:rPr>
            </w:pPr>
            <w:r>
              <w:rPr>
                <w:rFonts w:hint="eastAsia" w:ascii="宋体" w:hAnsi="宋体" w:eastAsia="宋体" w:cs="宋体"/>
                <w:spacing w:val="-1"/>
                <w:highlight w:val="none"/>
                <w:lang w:eastAsia="zh-CN"/>
              </w:rPr>
              <w:t>山东现代学院本科人才培养质量达成情况评价管理办法（试行）</w:t>
            </w:r>
          </w:p>
        </w:tc>
      </w:tr>
    </w:tbl>
    <w:p w14:paraId="2C058749">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（三）政策倾斜教学</w:t>
      </w:r>
    </w:p>
    <w:p w14:paraId="4E2C7B3C">
      <w:pPr>
        <w:kinsoku/>
        <w:spacing w:line="400" w:lineRule="exac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完善《专业技术职务评聘管理办法》《薪酬制度改革方案》等制度，在职称评审、绩效分配、评奖评优等方面向一线教师倾斜，对出现师德失范行为或重大教学事故的教师实行“一票否决”。制定《教学奖励办法》，对教师获批教学成果奖和教改项目、出版教材、指导学生立项课题和发表论文等进行奖励。</w:t>
      </w:r>
      <w:r>
        <w:rPr>
          <w:rFonts w:hint="eastAsia" w:ascii="宋体" w:hAnsi="宋体" w:eastAsia="宋体" w:cs="宋体"/>
          <w:bCs/>
          <w:color w:val="auto"/>
          <w:sz w:val="24"/>
          <w:szCs w:val="24"/>
          <w:highlight w:val="none"/>
          <w:lang w:val="en-US" w:eastAsia="zh-CN"/>
        </w:rPr>
        <w:t>2024-2025学年，共计奖励教师57人次，45.5万元。</w:t>
      </w:r>
    </w:p>
    <w:p w14:paraId="38B908B5">
      <w:pPr>
        <w:spacing w:before="120" w:beforeLines="50" w:after="120" w:afterLines="50"/>
        <w:jc w:val="both"/>
        <w:outlineLvl w:val="2"/>
        <w:rPr>
          <w:rFonts w:ascii="黑体" w:hAnsi="黑体" w:eastAsia="黑体" w:cs="黑体"/>
          <w:sz w:val="24"/>
          <w:szCs w:val="24"/>
          <w:highlight w:val="none"/>
          <w:lang w:eastAsia="zh-CN"/>
        </w:rPr>
      </w:pPr>
      <w:bookmarkStart w:id="58" w:name="bookmark71"/>
      <w:bookmarkEnd w:id="58"/>
      <w:bookmarkStart w:id="59" w:name="bookmark70"/>
      <w:bookmarkEnd w:id="59"/>
      <w:bookmarkStart w:id="60" w:name="bookmark72"/>
      <w:bookmarkEnd w:id="60"/>
      <w:r>
        <w:rPr>
          <w:rFonts w:hint="eastAsia" w:ascii="黑体" w:hAnsi="黑体" w:eastAsia="黑体" w:cs="黑体"/>
          <w:sz w:val="24"/>
          <w:szCs w:val="24"/>
          <w:highlight w:val="none"/>
          <w:lang w:eastAsia="zh-CN"/>
        </w:rPr>
        <w:t>（四）经费优先教学</w:t>
      </w:r>
    </w:p>
    <w:p w14:paraId="228B492D">
      <w:pPr>
        <w:pStyle w:val="18"/>
        <w:kinsoku/>
        <w:autoSpaceDE/>
        <w:autoSpaceDN/>
        <w:spacing w:line="400" w:lineRule="exact"/>
        <w:ind w:firstLine="480" w:firstLineChars="200"/>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学校坚持资源配置优先保证教学工作需要，年度经费预算中优先安排教学经费。</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年教学日常运行支出为</w:t>
      </w:r>
      <w:r>
        <w:rPr>
          <w:rFonts w:hint="eastAsia" w:ascii="宋体" w:hAnsi="宋体" w:eastAsia="宋体" w:cs="宋体"/>
          <w:color w:val="auto"/>
          <w:sz w:val="24"/>
          <w:szCs w:val="24"/>
          <w:highlight w:val="none"/>
          <w:lang w:val="en-US" w:eastAsia="zh-CN"/>
        </w:rPr>
        <w:t>3866</w:t>
      </w:r>
      <w:r>
        <w:rPr>
          <w:rFonts w:hint="eastAsia" w:ascii="宋体" w:hAnsi="宋体" w:eastAsia="宋体" w:cs="宋体"/>
          <w:color w:val="auto"/>
          <w:sz w:val="24"/>
          <w:szCs w:val="24"/>
          <w:highlight w:val="none"/>
          <w:lang w:eastAsia="zh-CN"/>
        </w:rPr>
        <w:t>万元，生均为</w:t>
      </w:r>
      <w:r>
        <w:rPr>
          <w:rFonts w:hint="eastAsia" w:ascii="宋体" w:hAnsi="宋体" w:eastAsia="宋体" w:cs="宋体"/>
          <w:b w:val="0"/>
          <w:bCs/>
          <w:sz w:val="24"/>
          <w:szCs w:val="24"/>
          <w:highlight w:val="none"/>
          <w:lang w:val="en-US" w:eastAsia="zh-CN"/>
        </w:rPr>
        <w:t>2528.45</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val="en-US" w:eastAsia="zh-CN"/>
        </w:rPr>
        <w:t>本科实验经费支出440</w:t>
      </w:r>
      <w:r>
        <w:rPr>
          <w:rFonts w:hint="eastAsia" w:ascii="宋体" w:hAnsi="宋体" w:eastAsia="宋体" w:cs="宋体"/>
          <w:color w:val="auto"/>
          <w:sz w:val="24"/>
          <w:szCs w:val="24"/>
          <w:highlight w:val="none"/>
          <w:lang w:eastAsia="zh-CN"/>
        </w:rPr>
        <w:t>万元，生均为</w:t>
      </w:r>
      <w:r>
        <w:rPr>
          <w:rFonts w:hint="eastAsia" w:ascii="宋体" w:hAnsi="宋体" w:eastAsia="宋体" w:cs="宋体"/>
          <w:color w:val="auto"/>
          <w:sz w:val="24"/>
          <w:szCs w:val="24"/>
          <w:highlight w:val="none"/>
          <w:lang w:val="en-US" w:eastAsia="zh-CN"/>
        </w:rPr>
        <w:t>539.94</w:t>
      </w:r>
      <w:r>
        <w:rPr>
          <w:rFonts w:hint="eastAsia" w:ascii="宋体" w:hAnsi="宋体" w:eastAsia="宋体" w:cs="宋体"/>
          <w:color w:val="auto"/>
          <w:sz w:val="24"/>
          <w:szCs w:val="24"/>
          <w:highlight w:val="none"/>
          <w:lang w:eastAsia="zh-CN"/>
        </w:rPr>
        <w:t>元；本科实习经费支出为</w:t>
      </w: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万元，生均为</w:t>
      </w:r>
      <w:r>
        <w:rPr>
          <w:rFonts w:hint="eastAsia" w:ascii="宋体" w:hAnsi="宋体" w:eastAsia="宋体" w:cs="宋体"/>
          <w:color w:val="auto"/>
          <w:sz w:val="24"/>
          <w:szCs w:val="24"/>
          <w:highlight w:val="none"/>
          <w:lang w:val="en-US" w:eastAsia="zh-CN"/>
        </w:rPr>
        <w:t>246.66</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学年新增教学科研仪器设备</w:t>
      </w:r>
      <w:r>
        <w:rPr>
          <w:rFonts w:hint="eastAsia" w:ascii="宋体" w:hAnsi="宋体" w:eastAsia="宋体" w:cs="宋体"/>
          <w:color w:val="auto"/>
          <w:sz w:val="24"/>
          <w:szCs w:val="24"/>
          <w:highlight w:val="none"/>
          <w:lang w:val="en-US" w:eastAsia="zh-CN"/>
        </w:rPr>
        <w:t>1388.07</w:t>
      </w:r>
      <w:r>
        <w:rPr>
          <w:rFonts w:hint="eastAsia" w:ascii="宋体" w:hAnsi="宋体" w:eastAsia="宋体" w:cs="宋体"/>
          <w:color w:val="auto"/>
          <w:sz w:val="24"/>
          <w:szCs w:val="24"/>
          <w:highlight w:val="none"/>
          <w:lang w:eastAsia="zh-CN"/>
        </w:rPr>
        <w:t>万元，保障了教学工作的有序开展。</w:t>
      </w:r>
    </w:p>
    <w:p w14:paraId="2DCE6B1D">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（五）科研促进教学</w:t>
      </w:r>
    </w:p>
    <w:p w14:paraId="07789CAB">
      <w:pPr>
        <w:kinsoku/>
        <w:spacing w:line="400" w:lineRule="exact"/>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围绕科研思维培养与科研方法创新、科研教研课题设计与申报、学术论文写作与发表、科研成果奖和教学成果奖的培育与申报、产学研与社会服务等方面，邀请校外专家学者来校进行专题讲座，鼓励教师树立开展科研工作的信心，掌握科研理论和方法，了解学科发展新动态和科技发展新成果，不断优化知识结构,在提升学术水平和科研能力的同时，能够将学科发展新思想、新概念、新成果融入教学内容，增强教学的学术性和课程的高阶性，提高教学质量。</w:t>
      </w:r>
    </w:p>
    <w:p w14:paraId="758377D8">
      <w:pPr>
        <w:kinsoku/>
        <w:spacing w:line="400" w:lineRule="exact"/>
        <w:ind w:firstLine="480" w:firstLineChars="200"/>
        <w:jc w:val="both"/>
        <w:rPr>
          <w:rFonts w:ascii="宋体" w:hAnsi="宋体" w:eastAsia="宋体" w:cs="宋体"/>
          <w:bCs/>
          <w:color w:val="FF0000"/>
          <w:sz w:val="24"/>
          <w:szCs w:val="24"/>
          <w:highlight w:val="none"/>
          <w:lang w:eastAsia="zh-CN"/>
        </w:rPr>
      </w:pPr>
      <w:r>
        <w:rPr>
          <w:rFonts w:hint="eastAsia" w:ascii="宋体" w:hAnsi="宋体" w:eastAsia="宋体" w:cs="宋体"/>
          <w:bCs/>
          <w:color w:val="auto"/>
          <w:sz w:val="24"/>
          <w:szCs w:val="24"/>
          <w:highlight w:val="none"/>
          <w:lang w:eastAsia="zh-CN"/>
        </w:rPr>
        <w:t>制定《科研业绩奖励办法》，促进学生创新能力提升，鼓励学生进行科学研究，对学生发表论文及主持科研项目进行奖励。</w:t>
      </w:r>
    </w:p>
    <w:p w14:paraId="70C0061E">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（六）服务支持教学</w:t>
      </w:r>
    </w:p>
    <w:p w14:paraId="6A2367E7">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坚持以服务师生满意为目标，明确岗位职责，强化服务意识。建设大学生服务中心、大学生创业孵化基地和就业指导中心等，为学生学习生活、就业创业提供“一站式”服务。设立文献传递站，布置150台云桌面电脑，服务师生学习研究。建设3栋人才公寓，可供479位教师免费入住，为教师营造安心从教环境。</w:t>
      </w:r>
    </w:p>
    <w:p w14:paraId="3E57AC8C">
      <w:pPr>
        <w:spacing w:before="120" w:beforeLines="50" w:after="120" w:afterLines="50"/>
        <w:jc w:val="both"/>
        <w:outlineLvl w:val="1"/>
        <w:rPr>
          <w:rFonts w:hint="default" w:ascii="黑体" w:hAnsi="黑体" w:eastAsia="黑体" w:cs="黑体"/>
          <w:sz w:val="28"/>
          <w:szCs w:val="28"/>
          <w:highlight w:val="none"/>
          <w:lang w:val="en-US" w:eastAsia="zh-CN"/>
        </w:rPr>
      </w:pPr>
      <w:bookmarkStart w:id="61" w:name="_Toc20931"/>
      <w:r>
        <w:rPr>
          <w:rFonts w:hint="eastAsia" w:ascii="黑体" w:hAnsi="黑体" w:eastAsia="黑体" w:cs="黑体"/>
          <w:sz w:val="28"/>
          <w:szCs w:val="28"/>
          <w:highlight w:val="none"/>
          <w:lang w:eastAsia="zh-CN"/>
        </w:rPr>
        <w:t>二、教学质量保障</w:t>
      </w:r>
      <w:r>
        <w:rPr>
          <w:rFonts w:hint="eastAsia" w:ascii="黑体" w:hAnsi="黑体" w:eastAsia="黑体" w:cs="黑体"/>
          <w:sz w:val="28"/>
          <w:szCs w:val="28"/>
          <w:highlight w:val="none"/>
          <w:lang w:val="en-US" w:eastAsia="zh-CN"/>
        </w:rPr>
        <w:t>体系建设</w:t>
      </w:r>
      <w:bookmarkEnd w:id="61"/>
    </w:p>
    <w:p w14:paraId="4F436EA0">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（一）教学质量管理机构建设情况</w:t>
      </w:r>
    </w:p>
    <w:p w14:paraId="18D27C4B">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教学质量监控与评估中心独立于教务处，形成了教学管理部门、教学实施部门、教学质量监控与评价部门“管办评”相对分离又密切协作的运行模式。部门设现有工作人员5人，保障部门工作正常运行。建立了学校和二级学院（部）两级教学督导委员会，</w:t>
      </w:r>
      <w:r>
        <w:rPr>
          <w:rFonts w:hint="eastAsia" w:ascii="宋体" w:hAnsi="宋体" w:eastAsia="宋体" w:cs="宋体"/>
          <w:bCs/>
          <w:color w:val="auto"/>
          <w:sz w:val="24"/>
          <w:szCs w:val="24"/>
          <w:highlight w:val="none"/>
          <w:lang w:val="en-US" w:eastAsia="zh-CN"/>
        </w:rPr>
        <w:t>专兼职督导成员64人；</w:t>
      </w:r>
      <w:r>
        <w:rPr>
          <w:rFonts w:hint="eastAsia" w:ascii="宋体" w:hAnsi="宋体" w:eastAsia="宋体" w:cs="宋体"/>
          <w:bCs/>
          <w:color w:val="auto"/>
          <w:sz w:val="24"/>
          <w:szCs w:val="24"/>
          <w:highlight w:val="none"/>
          <w:lang w:eastAsia="zh-CN"/>
        </w:rPr>
        <w:t>组成了由</w:t>
      </w:r>
      <w:r>
        <w:rPr>
          <w:rFonts w:hint="eastAsia" w:ascii="宋体" w:hAnsi="宋体" w:eastAsia="宋体" w:cs="宋体"/>
          <w:bCs/>
          <w:color w:val="auto"/>
          <w:sz w:val="24"/>
          <w:szCs w:val="24"/>
          <w:highlight w:val="none"/>
          <w:lang w:val="en-US" w:eastAsia="zh-CN"/>
        </w:rPr>
        <w:t>86</w:t>
      </w:r>
      <w:r>
        <w:rPr>
          <w:rFonts w:hint="eastAsia" w:ascii="宋体" w:hAnsi="宋体" w:eastAsia="宋体" w:cs="宋体"/>
          <w:bCs/>
          <w:color w:val="auto"/>
          <w:sz w:val="24"/>
          <w:szCs w:val="24"/>
          <w:highlight w:val="none"/>
          <w:lang w:eastAsia="zh-CN"/>
        </w:rPr>
        <w:t>名学生参加的教学信息员队伍。</w:t>
      </w:r>
    </w:p>
    <w:p w14:paraId="59FDEAC5">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（二）教学质量监控与保障体系建设</w:t>
      </w:r>
    </w:p>
    <w:p w14:paraId="1E744B43">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学校按照“全员参与、全程监控、全面评价、持续改进”的管理理念，构建目标系统、质量标准系统、保障系统、信息采集与评估系统、信息反馈与调控系统五个子系统构成的教学质量监控与保障体系，各系统相互协调，有序运作，有力保障教学质量。管理服务提高了教学质量，为人才培养提供重要支持和保障。学校教学质量监控与保障体系框架图详见图5-1。</w:t>
      </w:r>
    </w:p>
    <w:p w14:paraId="3DD30E8F">
      <w:pPr>
        <w:kinsoku/>
        <w:spacing w:before="78"/>
        <w:ind w:left="11" w:right="198" w:hanging="11"/>
        <w:jc w:val="center"/>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drawing>
          <wp:inline distT="0" distB="0" distL="114300" distR="114300">
            <wp:extent cx="5304790" cy="2753995"/>
            <wp:effectExtent l="0" t="0" r="10160" b="8255"/>
            <wp:docPr id="16"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图片1"/>
                    <pic:cNvPicPr>
                      <a:picLocks noChangeAspect="1"/>
                    </pic:cNvPicPr>
                  </pic:nvPicPr>
                  <pic:blipFill>
                    <a:blip r:embed="rId24"/>
                    <a:srcRect l="2138" r="1952"/>
                    <a:stretch>
                      <a:fillRect/>
                    </a:stretch>
                  </pic:blipFill>
                  <pic:spPr>
                    <a:xfrm>
                      <a:off x="0" y="0"/>
                      <a:ext cx="5304790" cy="2753995"/>
                    </a:xfrm>
                    <a:prstGeom prst="rect">
                      <a:avLst/>
                    </a:prstGeom>
                    <a:noFill/>
                    <a:ln>
                      <a:noFill/>
                    </a:ln>
                  </pic:spPr>
                </pic:pic>
              </a:graphicData>
            </a:graphic>
          </wp:inline>
        </w:drawing>
      </w:r>
    </w:p>
    <w:p w14:paraId="608E2072">
      <w:pPr>
        <w:kinsoku/>
        <w:spacing w:before="78"/>
        <w:ind w:right="198"/>
        <w:jc w:val="center"/>
        <w:rPr>
          <w:rFonts w:ascii="宋体" w:hAnsi="宋体" w:eastAsia="宋体" w:cs="宋体"/>
          <w:bCs/>
          <w:color w:val="auto"/>
          <w:highlight w:val="none"/>
          <w:lang w:eastAsia="zh-CN"/>
        </w:rPr>
      </w:pPr>
      <w:r>
        <w:rPr>
          <w:rFonts w:hint="eastAsia" w:ascii="宋体" w:hAnsi="宋体" w:eastAsia="宋体" w:cs="宋体"/>
          <w:bCs/>
          <w:color w:val="auto"/>
          <w:highlight w:val="none"/>
          <w:lang w:eastAsia="zh-CN"/>
        </w:rPr>
        <w:t>图5-1  山东现代学院教学质量监控与保障体系框架图</w:t>
      </w:r>
    </w:p>
    <w:p w14:paraId="3B82F7C3">
      <w:pPr>
        <w:spacing w:before="120" w:beforeLines="50" w:after="120" w:afterLines="50"/>
        <w:jc w:val="both"/>
        <w:outlineLvl w:val="1"/>
        <w:rPr>
          <w:rFonts w:hint="eastAsia" w:ascii="黑体" w:hAnsi="黑体" w:eastAsia="黑体" w:cs="黑体"/>
          <w:sz w:val="28"/>
          <w:szCs w:val="28"/>
          <w:highlight w:val="none"/>
          <w:lang w:eastAsia="zh-CN"/>
        </w:rPr>
      </w:pPr>
      <w:bookmarkStart w:id="62" w:name="_Toc6348"/>
      <w:r>
        <w:rPr>
          <w:rFonts w:hint="eastAsia" w:ascii="黑体" w:hAnsi="黑体" w:eastAsia="黑体" w:cs="黑体"/>
          <w:sz w:val="28"/>
          <w:szCs w:val="28"/>
          <w:highlight w:val="none"/>
          <w:lang w:val="en-US" w:eastAsia="zh-CN"/>
        </w:rPr>
        <w:t>三、</w:t>
      </w:r>
      <w:r>
        <w:rPr>
          <w:rFonts w:hint="eastAsia" w:ascii="黑体" w:hAnsi="黑体" w:eastAsia="黑体" w:cs="黑体"/>
          <w:sz w:val="28"/>
          <w:szCs w:val="28"/>
          <w:highlight w:val="none"/>
          <w:lang w:eastAsia="zh-CN"/>
        </w:rPr>
        <w:t>日常监控及运行</w:t>
      </w:r>
      <w:bookmarkEnd w:id="62"/>
    </w:p>
    <w:p w14:paraId="0864A0A4">
      <w:pPr>
        <w:spacing w:line="400" w:lineRule="exact"/>
        <w:ind w:firstLine="480" w:firstLineChars="200"/>
        <w:jc w:val="both"/>
        <w:outlineLvl w:val="3"/>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1.运行机制</w:t>
      </w:r>
    </w:p>
    <w:p w14:paraId="40DDBF54">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建立了校、院两级教学督导委员会，组成了由二级学院学生参加的教学信息员队伍。学校、二级学院（部）、教研室实施三级监控运行。教学检查、督导评价、自我评估、平台监测等四种方式结合。经过探索实践，形成了“一个机构、两支队伍、三级监控、四种方式”的教学质量监控与保障工作运行机制，有力保障了质量监控效果的持续提高。</w:t>
      </w:r>
    </w:p>
    <w:p w14:paraId="6FD02763">
      <w:pPr>
        <w:spacing w:line="400" w:lineRule="exact"/>
        <w:ind w:firstLine="480" w:firstLineChars="200"/>
        <w:jc w:val="both"/>
        <w:outlineLvl w:val="3"/>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2.工作举措</w:t>
      </w:r>
    </w:p>
    <w:p w14:paraId="63F3E971">
      <w:pPr>
        <w:kinsoku/>
        <w:spacing w:line="400" w:lineRule="exact"/>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定期开展教学督导听课、学生教学信息员反馈工作，不断完善领导干部听课、教学督导随机听课、同行互相听课、学生教学信息员课堂教学质量评价。202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～202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学年，校领导听课8</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学时，中层干部听课5</w:t>
      </w:r>
      <w:r>
        <w:rPr>
          <w:rFonts w:hint="eastAsia" w:ascii="宋体" w:hAnsi="宋体" w:eastAsia="宋体" w:cs="宋体"/>
          <w:bCs/>
          <w:color w:val="auto"/>
          <w:sz w:val="24"/>
          <w:szCs w:val="24"/>
          <w:highlight w:val="none"/>
          <w:lang w:val="en-US" w:eastAsia="zh-CN"/>
        </w:rPr>
        <w:t>34</w:t>
      </w:r>
      <w:r>
        <w:rPr>
          <w:rFonts w:hint="eastAsia" w:ascii="宋体" w:hAnsi="宋体" w:eastAsia="宋体" w:cs="宋体"/>
          <w:bCs/>
          <w:color w:val="auto"/>
          <w:sz w:val="24"/>
          <w:szCs w:val="24"/>
          <w:highlight w:val="none"/>
          <w:lang w:eastAsia="zh-CN"/>
        </w:rPr>
        <w:t>学时；校院两级教学督导听课1</w:t>
      </w:r>
      <w:r>
        <w:rPr>
          <w:rFonts w:hint="eastAsia" w:ascii="宋体" w:hAnsi="宋体" w:eastAsia="宋体" w:cs="宋体"/>
          <w:bCs/>
          <w:color w:val="auto"/>
          <w:sz w:val="24"/>
          <w:szCs w:val="24"/>
          <w:highlight w:val="none"/>
          <w:lang w:val="en-US" w:eastAsia="zh-CN"/>
        </w:rPr>
        <w:t>755</w:t>
      </w:r>
      <w:r>
        <w:rPr>
          <w:rFonts w:hint="eastAsia" w:ascii="宋体" w:hAnsi="宋体" w:eastAsia="宋体" w:cs="宋体"/>
          <w:bCs/>
          <w:color w:val="auto"/>
          <w:sz w:val="24"/>
          <w:szCs w:val="24"/>
          <w:highlight w:val="none"/>
          <w:lang w:eastAsia="zh-CN"/>
        </w:rPr>
        <w:t>学时，被听课教师3</w:t>
      </w:r>
      <w:r>
        <w:rPr>
          <w:rFonts w:hint="eastAsia" w:ascii="宋体" w:hAnsi="宋体" w:eastAsia="宋体" w:cs="宋体"/>
          <w:bCs/>
          <w:color w:val="auto"/>
          <w:sz w:val="24"/>
          <w:szCs w:val="24"/>
          <w:highlight w:val="none"/>
          <w:lang w:val="en-US" w:eastAsia="zh-CN"/>
        </w:rPr>
        <w:t>34</w:t>
      </w:r>
      <w:r>
        <w:rPr>
          <w:rFonts w:hint="eastAsia" w:ascii="宋体" w:hAnsi="宋体" w:eastAsia="宋体" w:cs="宋体"/>
          <w:bCs/>
          <w:color w:val="auto"/>
          <w:sz w:val="24"/>
          <w:szCs w:val="24"/>
          <w:highlight w:val="none"/>
          <w:lang w:eastAsia="zh-CN"/>
        </w:rPr>
        <w:t>人次；每月召开学生教学信息员会议，收集、反映教学信息</w:t>
      </w:r>
      <w:r>
        <w:rPr>
          <w:rFonts w:hint="eastAsia" w:ascii="宋体" w:hAnsi="宋体" w:eastAsia="宋体" w:cs="宋体"/>
          <w:bCs/>
          <w:color w:val="auto"/>
          <w:sz w:val="24"/>
          <w:szCs w:val="24"/>
          <w:highlight w:val="none"/>
          <w:lang w:val="en-US" w:eastAsia="zh-CN"/>
        </w:rPr>
        <w:t>144</w:t>
      </w:r>
      <w:r>
        <w:rPr>
          <w:rFonts w:hint="eastAsia" w:ascii="宋体" w:hAnsi="宋体" w:eastAsia="宋体" w:cs="宋体"/>
          <w:bCs/>
          <w:color w:val="auto"/>
          <w:sz w:val="24"/>
          <w:szCs w:val="24"/>
          <w:highlight w:val="none"/>
          <w:lang w:eastAsia="zh-CN"/>
        </w:rPr>
        <w:t>条。听课发现和学生反映的问题及时得到反馈、整改。</w:t>
      </w:r>
    </w:p>
    <w:p w14:paraId="719B38FF">
      <w:pPr>
        <w:kinsoku/>
        <w:spacing w:line="400" w:lineRule="exact"/>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组织学生评教和教师评学。依据《山东现代学院学生评教工作实施办法》《山东现代学院教师评学工作实施方案》，每学期末组织全体在校学生对当学期承担教学任务的教师进行评教、全体任课教师对学生进行评学，</w:t>
      </w:r>
      <w:r>
        <w:rPr>
          <w:rFonts w:hint="eastAsia" w:ascii="宋体" w:hAnsi="宋体" w:eastAsia="宋体" w:cs="宋体"/>
          <w:bCs/>
          <w:color w:val="auto"/>
          <w:sz w:val="24"/>
          <w:szCs w:val="24"/>
          <w:highlight w:val="none"/>
          <w:lang w:val="en-US" w:eastAsia="zh-CN"/>
        </w:rPr>
        <w:t>参评率分别为96.41%、99.85%，全面</w:t>
      </w:r>
      <w:r>
        <w:rPr>
          <w:rFonts w:hint="eastAsia" w:ascii="宋体" w:hAnsi="宋体" w:eastAsia="宋体" w:cs="宋体"/>
          <w:bCs/>
          <w:color w:val="auto"/>
          <w:sz w:val="24"/>
          <w:szCs w:val="24"/>
          <w:highlight w:val="none"/>
          <w:lang w:eastAsia="zh-CN"/>
        </w:rPr>
        <w:t>了解教师教学状况和学生学习效果，合理调整课程计划，优化教学过程。</w:t>
      </w:r>
    </w:p>
    <w:p w14:paraId="0E52F380">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开展三项教学检查，强化多元常态质量监控。每个学期期初对教学准备、期中对教学过程、期末对考风考纪开展3项常规教学检查。202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～202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学年，开展期初、期中、期末教学检查6次，对发现的问题逐一进行整改落实，不断提高人才培养质量。</w:t>
      </w:r>
    </w:p>
    <w:p w14:paraId="405221B3">
      <w:pPr>
        <w:spacing w:line="400" w:lineRule="exact"/>
        <w:ind w:firstLine="480" w:firstLineChars="200"/>
        <w:jc w:val="both"/>
        <w:outlineLvl w:val="3"/>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3.反馈整改</w:t>
      </w:r>
    </w:p>
    <w:p w14:paraId="18D7474A">
      <w:pPr>
        <w:kinsoku/>
        <w:spacing w:line="400" w:lineRule="exact"/>
        <w:ind w:firstLine="480" w:firstLineChars="200"/>
        <w:jc w:val="both"/>
        <w:rPr>
          <w:rFonts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通过督导听课、评学评教、师生座谈会、学生教学信息员、校长邮箱、毕业生跟踪调查、家长和用人单位评价等多渠道收集信息，及时监测保障人才培养质量。采用问题通报、工作简报、专项分析报告、专题反馈会等方法及时反馈问题，提出整改建议，督促整改落实，形成闭环工作机制。2023～2024学年，通报各类问题</w:t>
      </w: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lang w:eastAsia="zh-CN"/>
        </w:rPr>
        <w:t>00余条，印发工作简报7期，发布专项分析报告2份，召开专题座谈会</w:t>
      </w:r>
      <w:r>
        <w:rPr>
          <w:rFonts w:hint="eastAsia" w:asciiTheme="minorEastAsia" w:hAnsiTheme="minorEastAsia" w:eastAsiaTheme="minorEastAsia" w:cstheme="minorEastAsia"/>
          <w:bCs/>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lang w:eastAsia="zh-CN"/>
        </w:rPr>
        <w:t>场，对反馈意见的整改情况进行督导复查，持续提升教学质量。</w:t>
      </w:r>
    </w:p>
    <w:p w14:paraId="590BCB1D">
      <w:pPr>
        <w:spacing w:before="120" w:beforeLines="50" w:after="120" w:afterLines="50"/>
        <w:jc w:val="both"/>
        <w:outlineLvl w:val="1"/>
        <w:rPr>
          <w:rFonts w:hint="eastAsia" w:ascii="黑体" w:hAnsi="黑体" w:eastAsia="黑体" w:cs="黑体"/>
          <w:sz w:val="28"/>
          <w:szCs w:val="28"/>
          <w:highlight w:val="none"/>
          <w:lang w:val="en-US" w:eastAsia="zh-CN"/>
        </w:rPr>
      </w:pPr>
      <w:bookmarkStart w:id="63" w:name="_Toc7832"/>
      <w:r>
        <w:rPr>
          <w:rFonts w:hint="eastAsia" w:ascii="黑体" w:hAnsi="黑体" w:eastAsia="黑体" w:cs="黑体"/>
          <w:sz w:val="28"/>
          <w:szCs w:val="28"/>
          <w:highlight w:val="none"/>
          <w:lang w:val="en-US" w:eastAsia="zh-CN"/>
        </w:rPr>
        <w:t>四、规范教学行为</w:t>
      </w:r>
      <w:bookmarkEnd w:id="63"/>
    </w:p>
    <w:p w14:paraId="7D27AA59">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质量标准明确，执行落实严格。严格执行《主要教学环节质量标准》，包括制定人才培养方案、编制教学大纲、下达教学任务书、撰写教学日历、选订教材、教师备课、教师讲课、布置与批改作业、课后辅导答疑、课程考核、实践教学等11个主要教学环节。教学管理人员、教学督导人员及学生教学信息员积极配合，认真履行职责，强化监督检查，保障标准的贯彻落实。</w:t>
      </w:r>
    </w:p>
    <w:p w14:paraId="5CB2B017">
      <w:pPr>
        <w:spacing w:before="120" w:beforeLines="50" w:after="120" w:afterLines="50"/>
        <w:jc w:val="both"/>
        <w:outlineLvl w:val="1"/>
        <w:rPr>
          <w:rFonts w:hint="default" w:ascii="黑体" w:hAnsi="黑体" w:eastAsia="黑体" w:cs="黑体"/>
          <w:sz w:val="28"/>
          <w:szCs w:val="28"/>
          <w:highlight w:val="none"/>
          <w:lang w:val="en-US" w:eastAsia="zh-CN"/>
        </w:rPr>
      </w:pPr>
      <w:bookmarkStart w:id="64" w:name="_Toc21996"/>
      <w:r>
        <w:rPr>
          <w:rFonts w:hint="eastAsia" w:ascii="黑体" w:hAnsi="黑体" w:eastAsia="黑体" w:cs="黑体"/>
          <w:sz w:val="28"/>
          <w:szCs w:val="28"/>
          <w:highlight w:val="none"/>
          <w:lang w:val="en-US" w:eastAsia="zh-CN"/>
        </w:rPr>
        <w:t>五、专业评估与认证情况</w:t>
      </w:r>
      <w:bookmarkEnd w:id="64"/>
    </w:p>
    <w:p w14:paraId="04CA35E7">
      <w:pPr>
        <w:kinsoku/>
        <w:spacing w:line="400" w:lineRule="exact"/>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不断优化《关于加强专业建设的实施意见》《本科专业评估指标体系》等制度，完善专业评估指标体系等，每两年进行一次专业评估，强化自我诊断、自我改进。制定《山东现代学院专业认证工作实施方案》，以建设“一流本科、一流专业”为目标，以专业认证为抓手，对标专业认证标准，以校、院两级自建与自评为基础，注重整体、注重内涵、注重过程，全面梳理专业建设与人才培养中存在的问题和不足，有针对性地分类开展以成果为导向的专业内涵建设，构建高质量的人才培养体系，深化人才培养模式改革，建设面向未来、引领发展、适应需求、理念先进、保障有力的一流专业，不断增强本科专业的核心竞争力、行业影响力和社会贡献力。</w:t>
      </w:r>
    </w:p>
    <w:p w14:paraId="0F2B5B76">
      <w:pPr>
        <w:kinsoku/>
        <w:spacing w:line="400" w:lineRule="exact"/>
        <w:ind w:firstLine="480" w:firstLineChars="20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学校召开专业认证工作动员和推进会，对专业认证工作进行全面动员和部署。举办校内专业认证培训工作，各二级学院要组织全体教师和管理人员，认真学习领会相关认证的标准和要求，深刻理解专业认证的本质内涵和总体要求，并就专业认证工作进行深入学习调研。各二级学院成立专业认证工作组，以学校总体规划为指导，制定学院专业认证工作方案，确定工作组成员和职责，分解工作任务，明确工作目标和重点。</w:t>
      </w:r>
    </w:p>
    <w:p w14:paraId="2F059AB9">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各专业通过深入学习、全面理解认证标准的内涵，加强对教师、学生和管理人员专业认证知识的培训，按照专业认证的标准逐项自查、自评，找出差距和不足，及时进行整改，为后期的专业认证工作打下基础。</w:t>
      </w:r>
    </w:p>
    <w:p w14:paraId="2F96B77B">
      <w:pPr>
        <w:spacing w:before="120" w:beforeLines="50" w:after="120" w:afterLines="50"/>
        <w:jc w:val="both"/>
        <w:outlineLvl w:val="1"/>
        <w:rPr>
          <w:rFonts w:hint="eastAsia" w:ascii="黑体" w:hAnsi="黑体" w:eastAsia="黑体" w:cs="黑体"/>
          <w:sz w:val="28"/>
          <w:szCs w:val="28"/>
          <w:highlight w:val="none"/>
          <w:lang w:val="en-US" w:eastAsia="zh-CN"/>
        </w:rPr>
      </w:pPr>
      <w:bookmarkStart w:id="65" w:name="_Toc2422"/>
      <w:r>
        <w:rPr>
          <w:rFonts w:hint="eastAsia" w:ascii="黑体" w:hAnsi="黑体" w:eastAsia="黑体" w:cs="黑体"/>
          <w:sz w:val="28"/>
          <w:szCs w:val="28"/>
          <w:highlight w:val="none"/>
          <w:lang w:val="en-US" w:eastAsia="zh-CN"/>
        </w:rPr>
        <w:t>六、本科教学基本状态分析</w:t>
      </w:r>
      <w:bookmarkEnd w:id="65"/>
    </w:p>
    <w:p w14:paraId="3E9D89ED">
      <w:pPr>
        <w:kinsoku/>
        <w:spacing w:line="400" w:lineRule="exact"/>
        <w:ind w:firstLine="480" w:firstLineChars="200"/>
        <w:jc w:val="both"/>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建设了《山东现代学院教学质量监测数据平台》，对师资队伍、教学设施、经费投入等关键办学指标进行常态监测。注重发挥高等教育质量监测国家数据平台作用，形成学校年度教学基本状态数据报告，实现平台数据和资源配置联动，为学校精准决策提供科学依据。及时面向社会发布本科教学质量报告，主动接受社会监督。</w:t>
      </w:r>
    </w:p>
    <w:p w14:paraId="38754D76">
      <w:pPr>
        <w:spacing w:before="120" w:beforeLines="50" w:after="120" w:afterLines="50"/>
        <w:jc w:val="both"/>
        <w:outlineLvl w:val="1"/>
        <w:rPr>
          <w:rFonts w:hint="default" w:ascii="黑体" w:hAnsi="黑体" w:eastAsia="黑体" w:cs="黑体"/>
          <w:sz w:val="28"/>
          <w:szCs w:val="28"/>
          <w:highlight w:val="none"/>
          <w:lang w:val="en-US" w:eastAsia="zh-CN"/>
        </w:rPr>
      </w:pPr>
      <w:bookmarkStart w:id="66" w:name="_Toc1849"/>
      <w:r>
        <w:rPr>
          <w:rFonts w:hint="eastAsia" w:ascii="黑体" w:hAnsi="黑体" w:eastAsia="黑体" w:cs="黑体"/>
          <w:sz w:val="28"/>
          <w:szCs w:val="28"/>
          <w:highlight w:val="none"/>
          <w:lang w:val="en-US" w:eastAsia="zh-CN"/>
        </w:rPr>
        <w:t>七、国际评估情况</w:t>
      </w:r>
      <w:bookmarkEnd w:id="66"/>
    </w:p>
    <w:p w14:paraId="5BDFE2E0">
      <w:pPr>
        <w:kinsoku/>
        <w:spacing w:line="400" w:lineRule="exact"/>
        <w:ind w:firstLine="480" w:firstLineChars="200"/>
        <w:jc w:val="both"/>
        <w:rPr>
          <w:rFonts w:ascii="黑体" w:hAnsi="黑体" w:eastAsia="黑体" w:cs="黑体"/>
          <w:spacing w:val="-4"/>
          <w:sz w:val="28"/>
          <w:szCs w:val="28"/>
          <w:highlight w:val="none"/>
          <w:lang w:eastAsia="zh-CN"/>
        </w:rPr>
      </w:pPr>
      <w:r>
        <w:rPr>
          <w:rFonts w:hint="eastAsia" w:ascii="宋体" w:hAnsi="宋体" w:eastAsia="宋体" w:cs="宋体"/>
          <w:bCs/>
          <w:color w:val="auto"/>
          <w:sz w:val="24"/>
          <w:szCs w:val="24"/>
          <w:highlight w:val="none"/>
          <w:lang w:val="en-US" w:eastAsia="zh-CN"/>
        </w:rPr>
        <w:t>当前，学校在本科教学质量国际评估工作方面尚处于前期探索与逐步培育阶段。作为一所应用型本科高校，学校充分认识到国际化是高等教育发展的重要趋势，也是提升办学水平的关键路径之一。现阶段，学校正积极关注并研究国际高等教育的质量保障标准与先进经验，结合学校办学定位与专业特色，初步借鉴相关理念融入内部质量文化建设。未来，学校将以服务区域发展和应用型人才培养为核心，在持续深化内涵建设的同时，逐步拓展国际交流合作渠道，并计划在条件成熟时，稳妥引入国际同行评价或专业认证，以评促建，不断提升人才培养质量的国际视野与竞争力。</w:t>
      </w:r>
    </w:p>
    <w:p w14:paraId="25B8E228">
      <w:pPr>
        <w:rPr>
          <w:rFonts w:ascii="黑体" w:hAnsi="黑体" w:eastAsia="黑体" w:cs="黑体"/>
          <w:spacing w:val="-4"/>
          <w:sz w:val="28"/>
          <w:szCs w:val="28"/>
          <w:highlight w:val="none"/>
          <w:lang w:eastAsia="zh-CN"/>
        </w:rPr>
      </w:pPr>
      <w:r>
        <w:rPr>
          <w:rFonts w:ascii="黑体" w:hAnsi="黑体" w:eastAsia="黑体" w:cs="黑体"/>
          <w:spacing w:val="-4"/>
          <w:sz w:val="28"/>
          <w:szCs w:val="28"/>
          <w:highlight w:val="none"/>
          <w:lang w:eastAsia="zh-CN"/>
        </w:rPr>
        <w:br w:type="page"/>
      </w:r>
    </w:p>
    <w:p w14:paraId="77CDAE67">
      <w:pPr>
        <w:adjustRightInd/>
        <w:snapToGrid/>
        <w:spacing w:before="120" w:beforeLines="50" w:after="120" w:afterLines="50"/>
        <w:jc w:val="both"/>
        <w:outlineLvl w:val="0"/>
        <w:rPr>
          <w:rFonts w:ascii="黑体" w:hAnsi="黑体" w:eastAsia="黑体" w:cs="黑体"/>
          <w:position w:val="14"/>
          <w:sz w:val="30"/>
          <w:szCs w:val="30"/>
          <w:highlight w:val="none"/>
          <w:lang w:eastAsia="zh-CN"/>
        </w:rPr>
      </w:pPr>
      <w:bookmarkStart w:id="67" w:name="_Toc5626"/>
      <w:r>
        <w:rPr>
          <w:rFonts w:hint="eastAsia" w:ascii="黑体" w:hAnsi="黑体" w:eastAsia="黑体" w:cs="黑体"/>
          <w:bCs/>
          <w:color w:val="auto"/>
          <w:position w:val="14"/>
          <w:sz w:val="30"/>
          <w:szCs w:val="30"/>
          <w:highlight w:val="none"/>
          <w:lang w:eastAsia="zh-CN"/>
        </w:rPr>
        <w:t>第六部分 学生学习效果</w:t>
      </w:r>
      <w:bookmarkEnd w:id="67"/>
    </w:p>
    <w:p w14:paraId="7E1DB414">
      <w:pPr>
        <w:spacing w:before="120" w:beforeLines="50" w:after="120" w:afterLines="50"/>
        <w:jc w:val="both"/>
        <w:outlineLvl w:val="1"/>
        <w:rPr>
          <w:rFonts w:hint="default" w:ascii="黑体" w:hAnsi="黑体" w:eastAsia="黑体" w:cs="黑体"/>
          <w:sz w:val="28"/>
          <w:szCs w:val="28"/>
          <w:highlight w:val="none"/>
          <w:lang w:val="en-US" w:eastAsia="zh-CN"/>
        </w:rPr>
      </w:pPr>
      <w:bookmarkStart w:id="68" w:name="_Toc7693"/>
      <w:r>
        <w:rPr>
          <w:rFonts w:hint="eastAsia" w:ascii="黑体" w:hAnsi="黑体" w:eastAsia="黑体" w:cs="黑体"/>
          <w:sz w:val="28"/>
          <w:szCs w:val="28"/>
          <w:highlight w:val="none"/>
          <w:lang w:eastAsia="zh-CN"/>
        </w:rPr>
        <w:t>一、学生学习</w:t>
      </w:r>
      <w:r>
        <w:rPr>
          <w:rFonts w:hint="eastAsia" w:ascii="黑体" w:hAnsi="黑体" w:eastAsia="黑体" w:cs="黑体"/>
          <w:sz w:val="28"/>
          <w:szCs w:val="28"/>
          <w:highlight w:val="none"/>
          <w:lang w:val="en-US" w:eastAsia="zh-CN"/>
        </w:rPr>
        <w:t>满意度情况</w:t>
      </w:r>
      <w:bookmarkEnd w:id="68"/>
    </w:p>
    <w:p w14:paraId="328812E1">
      <w:pPr>
        <w:widowControl w:val="0"/>
        <w:kinsoku/>
        <w:autoSpaceDN/>
        <w:adjustRightInd/>
        <w:snapToGrid/>
        <w:spacing w:line="400" w:lineRule="exact"/>
        <w:ind w:firstLine="480" w:firstLineChars="200"/>
        <w:jc w:val="both"/>
        <w:textAlignment w:val="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w:t>
      </w:r>
      <w:r>
        <w:rPr>
          <w:rFonts w:hint="eastAsia" w:ascii="宋体" w:hAnsi="宋体" w:eastAsia="宋体" w:cs="宋体"/>
          <w:sz w:val="24"/>
          <w:szCs w:val="24"/>
          <w:highlight w:val="none"/>
          <w:lang w:val="en-US" w:eastAsia="zh-CN"/>
        </w:rPr>
        <w:t>贯彻落实</w:t>
      </w:r>
      <w:r>
        <w:rPr>
          <w:rFonts w:hint="eastAsia" w:ascii="宋体" w:hAnsi="宋体" w:eastAsia="宋体" w:cs="宋体"/>
          <w:sz w:val="24"/>
          <w:szCs w:val="24"/>
          <w:highlight w:val="none"/>
          <w:lang w:eastAsia="zh-CN"/>
        </w:rPr>
        <w:t>《山东现代学院关于进一步加强学风建设的实施意见》，</w:t>
      </w:r>
      <w:r>
        <w:rPr>
          <w:rFonts w:ascii="宋体" w:hAnsi="宋体" w:eastAsia="宋体" w:cs="宋体"/>
          <w:sz w:val="24"/>
          <w:szCs w:val="24"/>
          <w:highlight w:val="none"/>
          <w:lang w:eastAsia="zh-CN"/>
        </w:rPr>
        <w:t>通过</w:t>
      </w:r>
      <w:r>
        <w:rPr>
          <w:rFonts w:hint="eastAsia" w:ascii="宋体" w:hAnsi="宋体" w:eastAsia="宋体" w:cs="宋体"/>
          <w:sz w:val="24"/>
          <w:szCs w:val="24"/>
          <w:highlight w:val="none"/>
          <w:lang w:eastAsia="zh-CN"/>
        </w:rPr>
        <w:t>一系列</w:t>
      </w:r>
      <w:r>
        <w:rPr>
          <w:rFonts w:ascii="宋体" w:hAnsi="宋体" w:eastAsia="宋体" w:cs="宋体"/>
          <w:sz w:val="24"/>
          <w:szCs w:val="24"/>
          <w:highlight w:val="none"/>
          <w:lang w:eastAsia="zh-CN"/>
        </w:rPr>
        <w:t>举措持续性加强</w:t>
      </w:r>
      <w:r>
        <w:rPr>
          <w:rFonts w:hint="eastAsia" w:ascii="宋体" w:hAnsi="宋体" w:eastAsia="宋体" w:cs="宋体"/>
          <w:sz w:val="24"/>
          <w:szCs w:val="24"/>
          <w:highlight w:val="none"/>
          <w:lang w:eastAsia="zh-CN"/>
        </w:rPr>
        <w:t>学生学习满意度</w:t>
      </w:r>
      <w:r>
        <w:rPr>
          <w:rFonts w:ascii="宋体" w:hAnsi="宋体" w:eastAsia="宋体" w:cs="宋体"/>
          <w:sz w:val="24"/>
          <w:szCs w:val="24"/>
          <w:highlight w:val="none"/>
          <w:lang w:eastAsia="zh-CN"/>
        </w:rPr>
        <w:t>，学校设立了校长接待日，公开</w:t>
      </w:r>
      <w:r>
        <w:rPr>
          <w:rFonts w:hint="eastAsia" w:ascii="宋体" w:hAnsi="宋体" w:eastAsia="宋体" w:cs="宋体"/>
          <w:sz w:val="24"/>
          <w:szCs w:val="24"/>
          <w:highlight w:val="none"/>
          <w:lang w:eastAsia="zh-CN"/>
        </w:rPr>
        <w:t>校领导</w:t>
      </w:r>
      <w:r>
        <w:rPr>
          <w:rFonts w:ascii="宋体" w:hAnsi="宋体" w:eastAsia="宋体" w:cs="宋体"/>
          <w:sz w:val="24"/>
          <w:szCs w:val="24"/>
          <w:highlight w:val="none"/>
          <w:lang w:eastAsia="zh-CN"/>
        </w:rPr>
        <w:t>和二级学院领导服务热线和问题反馈热线，建立学生教学信息员反馈制度和学生评教、教学督导随堂评价等机制，调研学生的学习满意度。</w:t>
      </w:r>
    </w:p>
    <w:p w14:paraId="558A7CC7">
      <w:pPr>
        <w:pStyle w:val="18"/>
        <w:adjustRightInd/>
        <w:snapToGrid/>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面向本科生开展“学生对学习效果满意度调查”活动，以学院为单位，进行学生满意度抽样调查，对师德师风、教学水平、实习实训、学风考风等方面进行调查，根据数据显示，学生学习效果满意度较高，达到9</w:t>
      </w:r>
      <w:r>
        <w:rPr>
          <w:rFonts w:hint="eastAsia" w:ascii="宋体" w:hAnsi="宋体" w:eastAsia="宋体" w:cs="宋体"/>
          <w:sz w:val="24"/>
          <w:szCs w:val="24"/>
          <w:highlight w:val="none"/>
          <w:lang w:val="en-US" w:eastAsia="zh-CN"/>
        </w:rPr>
        <w:t>7.39</w:t>
      </w:r>
      <w:r>
        <w:rPr>
          <w:rFonts w:hint="eastAsia" w:ascii="宋体" w:hAnsi="宋体" w:eastAsia="宋体" w:cs="宋体"/>
          <w:sz w:val="24"/>
          <w:szCs w:val="24"/>
          <w:highlight w:val="none"/>
          <w:lang w:eastAsia="zh-CN"/>
        </w:rPr>
        <w:t>%。</w:t>
      </w:r>
    </w:p>
    <w:p w14:paraId="06A3F947">
      <w:pPr>
        <w:spacing w:before="120" w:beforeLines="50" w:after="120" w:afterLines="50"/>
        <w:jc w:val="both"/>
        <w:outlineLvl w:val="1"/>
        <w:rPr>
          <w:rFonts w:hint="default" w:ascii="黑体" w:hAnsi="黑体" w:eastAsia="黑体" w:cs="黑体"/>
          <w:sz w:val="28"/>
          <w:szCs w:val="28"/>
          <w:highlight w:val="none"/>
          <w:lang w:val="en-US" w:eastAsia="zh-CN"/>
        </w:rPr>
      </w:pPr>
      <w:bookmarkStart w:id="69" w:name="_Toc17280"/>
      <w:r>
        <w:rPr>
          <w:rFonts w:hint="eastAsia" w:ascii="黑体" w:hAnsi="黑体" w:eastAsia="黑体" w:cs="黑体"/>
          <w:sz w:val="28"/>
          <w:szCs w:val="28"/>
          <w:highlight w:val="none"/>
          <w:lang w:val="en-US" w:eastAsia="zh-CN"/>
        </w:rPr>
        <w:t>二、</w:t>
      </w:r>
      <w:r>
        <w:rPr>
          <w:rFonts w:hint="eastAsia" w:ascii="黑体" w:hAnsi="黑体" w:eastAsia="黑体" w:cs="黑体"/>
          <w:sz w:val="28"/>
          <w:szCs w:val="28"/>
          <w:highlight w:val="none"/>
          <w:lang w:eastAsia="zh-CN"/>
        </w:rPr>
        <w:t>学生竞赛获奖</w:t>
      </w:r>
      <w:r>
        <w:rPr>
          <w:rFonts w:hint="eastAsia" w:ascii="黑体" w:hAnsi="黑体" w:eastAsia="黑体" w:cs="黑体"/>
          <w:sz w:val="28"/>
          <w:szCs w:val="28"/>
          <w:highlight w:val="none"/>
          <w:lang w:val="en-US" w:eastAsia="zh-CN"/>
        </w:rPr>
        <w:t>情况</w:t>
      </w:r>
      <w:bookmarkEnd w:id="69"/>
    </w:p>
    <w:p w14:paraId="2250E77C">
      <w:pPr>
        <w:widowControl w:val="0"/>
        <w:kinsoku/>
        <w:autoSpaceDE/>
        <w:autoSpaceDN/>
        <w:adjustRightInd/>
        <w:snapToGrid/>
        <w:spacing w:before="140" w:line="400" w:lineRule="exact"/>
        <w:ind w:firstLine="500" w:firstLineChars="200"/>
        <w:textAlignment w:val="auto"/>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val="en-US" w:eastAsia="zh-CN"/>
        </w:rPr>
        <w:t>修订《山东现代学院教师指导学生参加校外技能竞赛管理办法》、《大学生参加校外技能竞赛奖励办法》等制度，建立健全学生专业技能竞赛工作机制。2024～2025学年，学生参加校外学科竞赛累计1331人次获得三等奖及以上奖项，其中A类获奖132人（一等奖17人、二等奖58人，三等奖57人）；B类获奖521人（一等奖37人、二等奖193人，三等奖291人）；C类获奖1人（三等奖1人）；D类获奖677人（一等奖66人、二等奖258人，三等奖353人），累计投入73.07万元用于奖励获奖学生。</w:t>
      </w:r>
    </w:p>
    <w:p w14:paraId="6628738D">
      <w:pPr>
        <w:spacing w:before="120" w:beforeLines="50" w:after="120" w:afterLines="50"/>
        <w:jc w:val="both"/>
        <w:outlineLvl w:val="1"/>
        <w:rPr>
          <w:rFonts w:hint="default" w:ascii="黑体" w:hAnsi="黑体" w:eastAsia="黑体" w:cs="黑体"/>
          <w:sz w:val="28"/>
          <w:szCs w:val="28"/>
          <w:highlight w:val="none"/>
          <w:lang w:val="en-US" w:eastAsia="zh-CN"/>
        </w:rPr>
      </w:pPr>
      <w:bookmarkStart w:id="70" w:name="_Toc18964"/>
      <w:r>
        <w:rPr>
          <w:rFonts w:hint="eastAsia" w:ascii="黑体" w:hAnsi="黑体" w:eastAsia="黑体" w:cs="黑体"/>
          <w:sz w:val="28"/>
          <w:szCs w:val="28"/>
          <w:highlight w:val="none"/>
          <w:lang w:val="en-US" w:eastAsia="zh-CN"/>
        </w:rPr>
        <w:t>三、应届本科生毕业情况、学位授予情况</w:t>
      </w:r>
      <w:bookmarkEnd w:id="70"/>
    </w:p>
    <w:p w14:paraId="115148F8">
      <w:pPr>
        <w:widowControl w:val="0"/>
        <w:kinsoku/>
        <w:autoSpaceDE/>
        <w:autoSpaceDN/>
        <w:adjustRightInd/>
        <w:snapToGrid/>
        <w:spacing w:before="140" w:line="400" w:lineRule="exact"/>
        <w:ind w:firstLine="500" w:firstLineChars="200"/>
        <w:textAlignment w:val="auto"/>
        <w:rPr>
          <w:rFonts w:ascii="宋体" w:hAnsi="宋体" w:eastAsia="宋体" w:cs="宋体"/>
          <w:kern w:val="2"/>
          <w:sz w:val="24"/>
          <w:szCs w:val="24"/>
          <w:highlight w:val="none"/>
          <w:lang w:eastAsia="zh-CN"/>
        </w:rPr>
      </w:pPr>
      <w:r>
        <w:rPr>
          <w:rFonts w:hint="eastAsia" w:ascii="宋体" w:hAnsi="宋体" w:eastAsia="宋体" w:cs="宋体"/>
          <w:spacing w:val="5"/>
          <w:sz w:val="24"/>
          <w:szCs w:val="24"/>
          <w:highlight w:val="none"/>
          <w:lang w:eastAsia="zh-CN"/>
        </w:rPr>
        <w:t>学校2025届本科毕业生共247</w:t>
      </w:r>
      <w:r>
        <w:rPr>
          <w:rFonts w:hint="eastAsia" w:ascii="宋体" w:hAnsi="宋体" w:eastAsia="宋体" w:cs="宋体"/>
          <w:spacing w:val="5"/>
          <w:sz w:val="24"/>
          <w:szCs w:val="24"/>
          <w:highlight w:val="none"/>
          <w:lang w:val="en-US" w:eastAsia="zh-CN"/>
        </w:rPr>
        <w:t>3</w:t>
      </w:r>
      <w:r>
        <w:rPr>
          <w:rFonts w:hint="eastAsia" w:ascii="宋体" w:hAnsi="宋体" w:eastAsia="宋体" w:cs="宋体"/>
          <w:spacing w:val="5"/>
          <w:sz w:val="24"/>
          <w:szCs w:val="24"/>
          <w:highlight w:val="none"/>
          <w:lang w:eastAsia="zh-CN"/>
        </w:rPr>
        <w:t>人，实际毕业人数2455人，毕业率为99.</w:t>
      </w:r>
      <w:r>
        <w:rPr>
          <w:rFonts w:hint="eastAsia" w:ascii="宋体" w:hAnsi="宋体" w:eastAsia="宋体" w:cs="宋体"/>
          <w:spacing w:val="5"/>
          <w:sz w:val="24"/>
          <w:szCs w:val="24"/>
          <w:highlight w:val="none"/>
          <w:lang w:val="en-US" w:eastAsia="zh-CN"/>
        </w:rPr>
        <w:t>27</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lang w:eastAsia="zh-CN"/>
        </w:rPr>
        <w:t>按照我校学士学位资格审核标准，应届本科学生中有2419人符合学士学位授予条件，学位授予率为</w:t>
      </w:r>
      <w:r>
        <w:rPr>
          <w:rFonts w:hint="eastAsia" w:ascii="宋体" w:hAnsi="宋体" w:eastAsia="宋体" w:cs="宋体"/>
          <w:spacing w:val="5"/>
          <w:sz w:val="24"/>
          <w:szCs w:val="24"/>
          <w:highlight w:val="none"/>
          <w:lang w:val="en-US" w:eastAsia="zh-CN"/>
        </w:rPr>
        <w:t>97.82</w:t>
      </w:r>
      <w:r>
        <w:rPr>
          <w:rFonts w:hint="eastAsia" w:ascii="宋体" w:hAnsi="宋体" w:eastAsia="宋体" w:cs="宋体"/>
          <w:spacing w:val="5"/>
          <w:sz w:val="24"/>
          <w:szCs w:val="24"/>
          <w:highlight w:val="none"/>
          <w:lang w:eastAsia="zh-CN"/>
        </w:rPr>
        <w:t>%。</w:t>
      </w:r>
    </w:p>
    <w:p w14:paraId="2630E4CE">
      <w:pPr>
        <w:spacing w:before="120" w:beforeLines="50" w:after="120" w:afterLines="50"/>
        <w:jc w:val="both"/>
        <w:outlineLvl w:val="1"/>
        <w:rPr>
          <w:rFonts w:hint="eastAsia" w:ascii="黑体" w:hAnsi="黑体" w:eastAsia="黑体" w:cs="黑体"/>
          <w:sz w:val="28"/>
          <w:szCs w:val="28"/>
          <w:highlight w:val="none"/>
          <w:lang w:val="en-US" w:eastAsia="zh-CN"/>
        </w:rPr>
      </w:pPr>
      <w:bookmarkStart w:id="71" w:name="_Toc445"/>
      <w:r>
        <w:rPr>
          <w:rFonts w:hint="eastAsia" w:ascii="黑体" w:hAnsi="黑体" w:eastAsia="黑体" w:cs="黑体"/>
          <w:sz w:val="28"/>
          <w:szCs w:val="28"/>
          <w:highlight w:val="none"/>
          <w:lang w:val="en-US" w:eastAsia="zh-CN"/>
        </w:rPr>
        <w:t>四、攻读研究生情况</w:t>
      </w:r>
      <w:bookmarkEnd w:id="71"/>
    </w:p>
    <w:p w14:paraId="1CEC8F8D">
      <w:pPr>
        <w:widowControl w:val="0"/>
        <w:kinsoku/>
        <w:autoSpaceDE/>
        <w:autoSpaceDN/>
        <w:adjustRightInd/>
        <w:snapToGrid/>
        <w:spacing w:before="140" w:line="400" w:lineRule="exact"/>
        <w:ind w:firstLine="500" w:firstLineChars="200"/>
        <w:textAlignment w:val="auto"/>
        <w:rPr>
          <w:rFonts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t>我校将考研工作作为促进学校师德师风和学风建设和提升人才培养质量的重要抓手。202</w:t>
      </w:r>
      <w:r>
        <w:rPr>
          <w:rFonts w:hint="eastAsia" w:ascii="宋体" w:hAnsi="宋体" w:eastAsia="宋体" w:cs="宋体"/>
          <w:spacing w:val="5"/>
          <w:sz w:val="24"/>
          <w:szCs w:val="24"/>
          <w:highlight w:val="none"/>
          <w:lang w:val="en-US" w:eastAsia="zh-CN"/>
        </w:rPr>
        <w:t>5</w:t>
      </w:r>
      <w:r>
        <w:rPr>
          <w:rFonts w:hint="eastAsia" w:ascii="宋体" w:hAnsi="宋体" w:eastAsia="宋体" w:cs="宋体"/>
          <w:spacing w:val="5"/>
          <w:sz w:val="24"/>
          <w:szCs w:val="24"/>
          <w:highlight w:val="none"/>
          <w:lang w:eastAsia="zh-CN"/>
        </w:rPr>
        <w:t>年</w:t>
      </w:r>
      <w:r>
        <w:rPr>
          <w:rFonts w:hint="eastAsia" w:ascii="宋体" w:hAnsi="宋体" w:eastAsia="宋体" w:cs="宋体"/>
          <w:spacing w:val="5"/>
          <w:sz w:val="24"/>
          <w:szCs w:val="24"/>
          <w:highlight w:val="none"/>
          <w:lang w:val="en-US" w:eastAsia="zh-CN"/>
        </w:rPr>
        <w:t>同时取得本科毕业证和学位证的学生2419</w:t>
      </w:r>
      <w:r>
        <w:rPr>
          <w:rFonts w:hint="eastAsia" w:ascii="宋体" w:hAnsi="宋体" w:eastAsia="宋体" w:cs="宋体"/>
          <w:spacing w:val="5"/>
          <w:sz w:val="24"/>
          <w:szCs w:val="24"/>
          <w:highlight w:val="none"/>
          <w:lang w:eastAsia="zh-CN"/>
        </w:rPr>
        <w:t>人，考研录取1</w:t>
      </w:r>
      <w:r>
        <w:rPr>
          <w:rFonts w:hint="eastAsia" w:ascii="宋体" w:hAnsi="宋体" w:eastAsia="宋体" w:cs="宋体"/>
          <w:spacing w:val="5"/>
          <w:sz w:val="24"/>
          <w:szCs w:val="24"/>
          <w:highlight w:val="none"/>
          <w:lang w:val="en-US" w:eastAsia="zh-CN"/>
        </w:rPr>
        <w:t>54</w:t>
      </w:r>
      <w:r>
        <w:rPr>
          <w:rFonts w:hint="eastAsia" w:ascii="宋体" w:hAnsi="宋体" w:eastAsia="宋体" w:cs="宋体"/>
          <w:spacing w:val="5"/>
          <w:sz w:val="24"/>
          <w:szCs w:val="24"/>
          <w:highlight w:val="none"/>
          <w:lang w:eastAsia="zh-CN"/>
        </w:rPr>
        <w:t>人，</w:t>
      </w:r>
      <w:r>
        <w:rPr>
          <w:rFonts w:hint="eastAsia" w:ascii="宋体" w:hAnsi="宋体" w:eastAsia="宋体" w:cs="宋体"/>
          <w:spacing w:val="5"/>
          <w:sz w:val="24"/>
          <w:szCs w:val="24"/>
          <w:highlight w:val="none"/>
          <w:lang w:val="en-US" w:eastAsia="zh-CN"/>
        </w:rPr>
        <w:t>升学</w:t>
      </w:r>
      <w:r>
        <w:rPr>
          <w:rFonts w:hint="eastAsia" w:ascii="宋体" w:hAnsi="宋体" w:eastAsia="宋体" w:cs="宋体"/>
          <w:spacing w:val="5"/>
          <w:sz w:val="24"/>
          <w:szCs w:val="24"/>
          <w:highlight w:val="none"/>
          <w:lang w:eastAsia="zh-CN"/>
        </w:rPr>
        <w:t>率</w:t>
      </w:r>
      <w:r>
        <w:rPr>
          <w:rFonts w:hint="eastAsia" w:ascii="宋体" w:hAnsi="宋体" w:eastAsia="宋体" w:cs="宋体"/>
          <w:spacing w:val="5"/>
          <w:sz w:val="24"/>
          <w:szCs w:val="24"/>
          <w:highlight w:val="none"/>
          <w:lang w:val="en-US" w:eastAsia="zh-CN"/>
        </w:rPr>
        <w:t>6.37</w:t>
      </w:r>
      <w:r>
        <w:rPr>
          <w:rFonts w:hint="eastAsia" w:ascii="宋体" w:hAnsi="宋体" w:eastAsia="宋体" w:cs="宋体"/>
          <w:spacing w:val="5"/>
          <w:sz w:val="24"/>
          <w:szCs w:val="24"/>
          <w:highlight w:val="none"/>
          <w:lang w:eastAsia="zh-CN"/>
        </w:rPr>
        <w:t>%。</w:t>
      </w:r>
    </w:p>
    <w:p w14:paraId="194C72AA">
      <w:pPr>
        <w:spacing w:before="120" w:beforeLines="50" w:after="120" w:afterLines="50"/>
        <w:jc w:val="both"/>
        <w:outlineLvl w:val="1"/>
        <w:rPr>
          <w:rFonts w:ascii="黑体" w:hAnsi="黑体" w:eastAsia="黑体" w:cs="黑体"/>
          <w:sz w:val="28"/>
          <w:szCs w:val="28"/>
          <w:highlight w:val="none"/>
          <w:lang w:eastAsia="zh-CN"/>
        </w:rPr>
      </w:pPr>
      <w:bookmarkStart w:id="72" w:name="_Toc10243"/>
      <w:r>
        <w:rPr>
          <w:rFonts w:hint="eastAsia" w:ascii="黑体" w:hAnsi="黑体" w:eastAsia="黑体" w:cs="黑体"/>
          <w:sz w:val="28"/>
          <w:szCs w:val="28"/>
          <w:highlight w:val="none"/>
          <w:lang w:val="en-US" w:eastAsia="zh-CN"/>
        </w:rPr>
        <w:t>五、</w:t>
      </w:r>
      <w:r>
        <w:rPr>
          <w:rFonts w:hint="eastAsia" w:ascii="黑体" w:hAnsi="黑体" w:eastAsia="黑体" w:cs="黑体"/>
          <w:sz w:val="28"/>
          <w:szCs w:val="28"/>
          <w:highlight w:val="none"/>
          <w:lang w:eastAsia="zh-CN"/>
        </w:rPr>
        <w:t>就业</w:t>
      </w:r>
      <w:r>
        <w:rPr>
          <w:rFonts w:hint="eastAsia" w:ascii="黑体" w:hAnsi="黑体" w:eastAsia="黑体" w:cs="黑体"/>
          <w:sz w:val="28"/>
          <w:szCs w:val="28"/>
          <w:highlight w:val="none"/>
          <w:lang w:val="en-US" w:eastAsia="zh-CN"/>
        </w:rPr>
        <w:t>情况</w:t>
      </w:r>
      <w:bookmarkEnd w:id="72"/>
    </w:p>
    <w:p w14:paraId="389B8C32">
      <w:pPr>
        <w:pStyle w:val="18"/>
        <w:widowControl w:val="0"/>
        <w:kinsoku/>
        <w:autoSpaceDE/>
        <w:autoSpaceDN/>
        <w:adjustRightInd/>
        <w:snapToGrid/>
        <w:spacing w:line="400" w:lineRule="exact"/>
        <w:ind w:firstLine="500" w:firstLineChars="200"/>
        <w:jc w:val="both"/>
        <w:textAlignment w:val="auto"/>
        <w:rPr>
          <w:rFonts w:hint="default" w:ascii="宋体" w:hAnsi="宋体" w:eastAsia="宋体" w:cs="宋体"/>
          <w:spacing w:val="5"/>
          <w:kern w:val="2"/>
          <w:sz w:val="24"/>
          <w:szCs w:val="24"/>
          <w:highlight w:val="none"/>
          <w:lang w:val="en-US" w:eastAsia="zh-CN"/>
        </w:rPr>
      </w:pPr>
      <w:r>
        <w:rPr>
          <w:rFonts w:hint="eastAsia" w:ascii="宋体" w:hAnsi="宋体" w:eastAsia="宋体" w:cs="宋体"/>
          <w:spacing w:val="5"/>
          <w:kern w:val="2"/>
          <w:sz w:val="24"/>
          <w:szCs w:val="24"/>
          <w:highlight w:val="none"/>
          <w:lang w:eastAsia="zh-CN"/>
        </w:rPr>
        <w:t>坚持以服务毕业生优质高效就业为根本，不断完善“市场导向、学校推荐、学生和用人单位双向选择”的就业机制，积极探索、有效拓展高校毕业生就业空间，加强“三个引导”，全面做好毕业生就业指导服务，工作成效明显。截止到202</w:t>
      </w:r>
      <w:r>
        <w:rPr>
          <w:rFonts w:hint="eastAsia" w:ascii="宋体" w:hAnsi="宋体" w:eastAsia="宋体" w:cs="宋体"/>
          <w:spacing w:val="5"/>
          <w:kern w:val="2"/>
          <w:sz w:val="24"/>
          <w:szCs w:val="24"/>
          <w:highlight w:val="none"/>
          <w:lang w:val="en-US" w:eastAsia="zh-CN"/>
        </w:rPr>
        <w:t>5</w:t>
      </w:r>
      <w:r>
        <w:rPr>
          <w:rFonts w:hint="eastAsia" w:ascii="宋体" w:hAnsi="宋体" w:eastAsia="宋体" w:cs="宋体"/>
          <w:spacing w:val="5"/>
          <w:kern w:val="2"/>
          <w:sz w:val="24"/>
          <w:szCs w:val="24"/>
          <w:highlight w:val="none"/>
          <w:lang w:eastAsia="zh-CN"/>
        </w:rPr>
        <w:t>年</w:t>
      </w:r>
      <w:r>
        <w:rPr>
          <w:rFonts w:hint="eastAsia" w:ascii="宋体" w:hAnsi="宋体" w:eastAsia="宋体" w:cs="宋体"/>
          <w:spacing w:val="5"/>
          <w:kern w:val="2"/>
          <w:sz w:val="24"/>
          <w:szCs w:val="24"/>
          <w:highlight w:val="none"/>
          <w:lang w:val="en-US" w:eastAsia="zh-CN"/>
        </w:rPr>
        <w:t>8</w:t>
      </w:r>
      <w:r>
        <w:rPr>
          <w:rFonts w:hint="eastAsia" w:ascii="宋体" w:hAnsi="宋体" w:eastAsia="宋体" w:cs="宋体"/>
          <w:spacing w:val="5"/>
          <w:kern w:val="2"/>
          <w:sz w:val="24"/>
          <w:szCs w:val="24"/>
          <w:highlight w:val="none"/>
          <w:lang w:eastAsia="zh-CN"/>
        </w:rPr>
        <w:t>月31日，我校202</w:t>
      </w:r>
      <w:r>
        <w:rPr>
          <w:rFonts w:hint="eastAsia" w:ascii="宋体" w:hAnsi="宋体" w:eastAsia="宋体" w:cs="宋体"/>
          <w:spacing w:val="5"/>
          <w:kern w:val="2"/>
          <w:sz w:val="24"/>
          <w:szCs w:val="24"/>
          <w:highlight w:val="none"/>
          <w:lang w:val="en-US" w:eastAsia="zh-CN"/>
        </w:rPr>
        <w:t>5</w:t>
      </w:r>
      <w:r>
        <w:rPr>
          <w:rFonts w:hint="eastAsia" w:ascii="宋体" w:hAnsi="宋体" w:eastAsia="宋体" w:cs="宋体"/>
          <w:spacing w:val="5"/>
          <w:kern w:val="2"/>
          <w:sz w:val="24"/>
          <w:szCs w:val="24"/>
          <w:highlight w:val="none"/>
          <w:lang w:eastAsia="zh-CN"/>
        </w:rPr>
        <w:t>届本科毕业生毕业去向落实率</w:t>
      </w:r>
      <w:r>
        <w:rPr>
          <w:rFonts w:hint="eastAsia" w:ascii="宋体" w:hAnsi="宋体" w:eastAsia="宋体" w:cs="宋体"/>
          <w:spacing w:val="5"/>
          <w:kern w:val="2"/>
          <w:sz w:val="24"/>
          <w:szCs w:val="24"/>
          <w:highlight w:val="none"/>
          <w:lang w:val="en-US" w:eastAsia="zh-CN"/>
        </w:rPr>
        <w:t>87.98%</w:t>
      </w:r>
    </w:p>
    <w:p w14:paraId="3DA3BFBE">
      <w:pPr>
        <w:pStyle w:val="18"/>
        <w:widowControl w:val="0"/>
        <w:kinsoku/>
        <w:autoSpaceDE/>
        <w:autoSpaceDN/>
        <w:adjustRightInd/>
        <w:snapToGrid/>
        <w:spacing w:line="400" w:lineRule="exact"/>
        <w:ind w:firstLine="500" w:firstLineChars="200"/>
        <w:jc w:val="both"/>
        <w:textAlignment w:val="auto"/>
        <w:rPr>
          <w:rFonts w:hint="eastAsia" w:ascii="宋体" w:hAnsi="宋体" w:eastAsia="宋体" w:cs="宋体"/>
          <w:spacing w:val="5"/>
          <w:kern w:val="2"/>
          <w:sz w:val="24"/>
          <w:szCs w:val="24"/>
          <w:highlight w:val="none"/>
          <w:lang w:eastAsia="zh-CN"/>
        </w:rPr>
      </w:pPr>
      <w:r>
        <w:rPr>
          <w:rFonts w:hint="eastAsia" w:ascii="宋体" w:hAnsi="宋体" w:eastAsia="宋体" w:cs="宋体"/>
          <w:spacing w:val="5"/>
          <w:kern w:val="2"/>
          <w:sz w:val="24"/>
          <w:szCs w:val="24"/>
          <w:highlight w:val="none"/>
          <w:lang w:eastAsia="zh-CN"/>
        </w:rPr>
        <w:t>毕业去向为就业的2025届本科毕业生中，65.90%选择在省内就业，服务山东经济发展；本科毕业生就业行业以“批发和零售业（21.80%）”“卫生和社会工作（13.39%）”和“制造业（11.40%）”为主；就业单位主要为“非国有企业（88.10%）”；工作岗位主要是“销售/服务人员（34.31%）”“专业技术人员（28.79%）”和“行政/后勤人员（18.45%）”。</w:t>
      </w:r>
    </w:p>
    <w:p w14:paraId="1E90C2D2">
      <w:pPr>
        <w:pStyle w:val="18"/>
        <w:widowControl w:val="0"/>
        <w:kinsoku/>
        <w:autoSpaceDE/>
        <w:autoSpaceDN/>
        <w:adjustRightInd/>
        <w:snapToGrid/>
        <w:spacing w:line="400" w:lineRule="exact"/>
        <w:ind w:firstLine="500" w:firstLineChars="200"/>
        <w:jc w:val="both"/>
        <w:textAlignment w:val="auto"/>
        <w:rPr>
          <w:rFonts w:ascii="宋体" w:hAnsi="宋体" w:eastAsia="宋体" w:cs="宋体"/>
          <w:spacing w:val="5"/>
          <w:kern w:val="2"/>
          <w:sz w:val="24"/>
          <w:szCs w:val="24"/>
          <w:highlight w:val="none"/>
          <w:lang w:eastAsia="zh-CN"/>
        </w:rPr>
      </w:pPr>
      <w:r>
        <w:rPr>
          <w:rFonts w:hint="eastAsia" w:ascii="宋体" w:hAnsi="宋体" w:eastAsia="宋体" w:cs="宋体"/>
          <w:spacing w:val="5"/>
          <w:kern w:val="2"/>
          <w:sz w:val="24"/>
          <w:szCs w:val="24"/>
          <w:highlight w:val="none"/>
          <w:lang w:eastAsia="zh-CN"/>
        </w:rPr>
        <w:t>202</w:t>
      </w:r>
      <w:r>
        <w:rPr>
          <w:rFonts w:hint="eastAsia" w:ascii="宋体" w:hAnsi="宋体" w:eastAsia="宋体" w:cs="宋体"/>
          <w:spacing w:val="5"/>
          <w:kern w:val="2"/>
          <w:sz w:val="24"/>
          <w:szCs w:val="24"/>
          <w:highlight w:val="none"/>
          <w:lang w:val="en-US" w:eastAsia="zh-CN"/>
        </w:rPr>
        <w:t>5</w:t>
      </w:r>
      <w:r>
        <w:rPr>
          <w:rFonts w:hint="eastAsia" w:ascii="宋体" w:hAnsi="宋体" w:eastAsia="宋体" w:cs="宋体"/>
          <w:spacing w:val="5"/>
          <w:kern w:val="2"/>
          <w:sz w:val="24"/>
          <w:szCs w:val="24"/>
          <w:highlight w:val="none"/>
          <w:lang w:eastAsia="zh-CN"/>
        </w:rPr>
        <w:t>届本科毕业生各专业中，有</w:t>
      </w:r>
      <w:r>
        <w:rPr>
          <w:rFonts w:hint="eastAsia" w:ascii="宋体" w:hAnsi="宋体" w:eastAsia="宋体" w:cs="宋体"/>
          <w:spacing w:val="5"/>
          <w:kern w:val="2"/>
          <w:sz w:val="24"/>
          <w:szCs w:val="24"/>
          <w:highlight w:val="none"/>
          <w:lang w:val="en-US" w:eastAsia="zh-CN"/>
        </w:rPr>
        <w:t>11</w:t>
      </w:r>
      <w:r>
        <w:rPr>
          <w:rFonts w:hint="eastAsia" w:ascii="宋体" w:hAnsi="宋体" w:eastAsia="宋体" w:cs="宋体"/>
          <w:spacing w:val="5"/>
          <w:kern w:val="2"/>
          <w:sz w:val="24"/>
          <w:szCs w:val="24"/>
          <w:highlight w:val="none"/>
          <w:lang w:eastAsia="zh-CN"/>
        </w:rPr>
        <w:t>个专业的毕业去向落实率达到或超过90%，其中，</w:t>
      </w:r>
      <w:r>
        <w:rPr>
          <w:rFonts w:hint="eastAsia" w:ascii="宋体" w:hAnsi="宋体" w:eastAsia="宋体" w:cs="宋体"/>
          <w:spacing w:val="5"/>
          <w:kern w:val="2"/>
          <w:sz w:val="24"/>
          <w:szCs w:val="24"/>
          <w:highlight w:val="none"/>
          <w:lang w:val="en-US" w:eastAsia="zh-CN"/>
        </w:rPr>
        <w:t>绘画</w:t>
      </w:r>
      <w:r>
        <w:rPr>
          <w:rFonts w:hint="eastAsia" w:ascii="宋体" w:hAnsi="宋体" w:eastAsia="宋体" w:cs="宋体"/>
          <w:spacing w:val="5"/>
          <w:kern w:val="2"/>
          <w:sz w:val="24"/>
          <w:szCs w:val="24"/>
          <w:highlight w:val="none"/>
          <w:lang w:eastAsia="zh-CN"/>
        </w:rPr>
        <w:t>专业的毕业去向落实率达100%。</w:t>
      </w:r>
    </w:p>
    <w:p w14:paraId="6B682E71">
      <w:pPr>
        <w:widowControl w:val="0"/>
        <w:kinsoku/>
        <w:autoSpaceDE/>
        <w:autoSpaceDN/>
        <w:adjustRightInd/>
        <w:snapToGrid/>
        <w:spacing w:before="120" w:beforeLines="50" w:line="400" w:lineRule="exact"/>
        <w:jc w:val="center"/>
        <w:textAlignment w:val="auto"/>
        <w:rPr>
          <w:rFonts w:ascii="宋体" w:hAnsi="宋体" w:eastAsia="宋体" w:cs="宋体"/>
          <w:highlight w:val="none"/>
          <w:lang w:eastAsia="zh-CN"/>
        </w:rPr>
      </w:pPr>
      <w:r>
        <w:rPr>
          <w:rFonts w:hint="eastAsia" w:ascii="宋体" w:hAnsi="宋体" w:eastAsia="宋体" w:cs="宋体"/>
          <w:highlight w:val="none"/>
          <w:lang w:eastAsia="zh-CN"/>
        </w:rPr>
        <w:t>表6-1  2</w:t>
      </w:r>
      <w:r>
        <w:rPr>
          <w:rFonts w:ascii="宋体" w:hAnsi="宋体" w:eastAsia="宋体" w:cs="宋体"/>
          <w:highlight w:val="none"/>
          <w:lang w:eastAsia="zh-CN"/>
        </w:rPr>
        <w:t>02</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届</w:t>
      </w:r>
      <w:r>
        <w:rPr>
          <w:rFonts w:hint="eastAsia" w:ascii="宋体" w:hAnsi="宋体" w:eastAsia="宋体" w:cs="宋体"/>
          <w:highlight w:val="none"/>
          <w:lang w:val="en-US" w:eastAsia="zh-CN"/>
        </w:rPr>
        <w:t>本科</w:t>
      </w:r>
      <w:r>
        <w:rPr>
          <w:rFonts w:hint="eastAsia" w:ascii="宋体" w:hAnsi="宋体" w:eastAsia="宋体" w:cs="宋体"/>
          <w:highlight w:val="none"/>
          <w:lang w:eastAsia="zh-CN"/>
        </w:rPr>
        <w:t>毕业生</w:t>
      </w:r>
      <w:r>
        <w:rPr>
          <w:rFonts w:hint="eastAsia" w:ascii="宋体" w:hAnsi="宋体" w:eastAsia="宋体" w:cs="宋体"/>
          <w:highlight w:val="none"/>
          <w:lang w:val="en-US" w:eastAsia="zh-CN"/>
        </w:rPr>
        <w:t>各专业</w:t>
      </w:r>
      <w:r>
        <w:rPr>
          <w:rFonts w:hint="eastAsia" w:ascii="宋体" w:hAnsi="宋体" w:eastAsia="宋体" w:cs="宋体"/>
          <w:highlight w:val="none"/>
          <w:lang w:eastAsia="zh-CN"/>
        </w:rPr>
        <w:t>去向落实情况统计表（截止</w:t>
      </w:r>
      <w:r>
        <w:rPr>
          <w:rFonts w:hint="eastAsia" w:ascii="宋体" w:hAnsi="宋体" w:eastAsia="宋体" w:cs="宋体"/>
          <w:highlight w:val="none"/>
          <w:lang w:val="en-US" w:eastAsia="zh-CN"/>
        </w:rPr>
        <w:t>到</w:t>
      </w:r>
      <w:r>
        <w:rPr>
          <w:rFonts w:hint="eastAsia" w:ascii="宋体" w:hAnsi="宋体" w:eastAsia="宋体" w:cs="宋体"/>
          <w:highlight w:val="none"/>
          <w:lang w:eastAsia="zh-CN"/>
        </w:rPr>
        <w:t>202</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年8月31日）</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2763"/>
        <w:gridCol w:w="1170"/>
        <w:gridCol w:w="1358"/>
        <w:gridCol w:w="1088"/>
        <w:gridCol w:w="930"/>
        <w:gridCol w:w="1166"/>
      </w:tblGrid>
      <w:tr w14:paraId="3EA5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tblHeader/>
          <w:jc w:val="center"/>
        </w:trPr>
        <w:tc>
          <w:tcPr>
            <w:tcW w:w="323" w:type="pct"/>
            <w:vMerge w:val="restart"/>
            <w:noWrap w:val="0"/>
            <w:vAlign w:val="center"/>
          </w:tcPr>
          <w:p w14:paraId="68FF7525">
            <w:pPr>
              <w:pStyle w:val="32"/>
              <w:jc w:val="center"/>
              <w:rPr>
                <w:rFonts w:hint="eastAsia" w:ascii="宋体" w:hAnsi="宋体" w:eastAsia="宋体" w:cs="宋体"/>
                <w:b/>
                <w:highlight w:val="none"/>
              </w:rPr>
            </w:pPr>
            <w:r>
              <w:rPr>
                <w:rFonts w:hint="eastAsia" w:ascii="宋体" w:hAnsi="宋体" w:eastAsia="宋体" w:cs="宋体"/>
                <w:b/>
                <w:highlight w:val="none"/>
              </w:rPr>
              <w:t>序号</w:t>
            </w:r>
          </w:p>
        </w:tc>
        <w:tc>
          <w:tcPr>
            <w:tcW w:w="1524" w:type="pct"/>
            <w:vMerge w:val="restart"/>
            <w:noWrap w:val="0"/>
            <w:vAlign w:val="center"/>
          </w:tcPr>
          <w:p w14:paraId="5DD6C13C">
            <w:pPr>
              <w:pStyle w:val="32"/>
              <w:jc w:val="center"/>
              <w:rPr>
                <w:rFonts w:hint="eastAsia" w:ascii="宋体" w:hAnsi="宋体" w:eastAsia="宋体" w:cs="宋体"/>
                <w:b/>
                <w:highlight w:val="none"/>
              </w:rPr>
            </w:pPr>
            <w:r>
              <w:rPr>
                <w:rFonts w:hint="eastAsia" w:ascii="宋体" w:hAnsi="宋体" w:eastAsia="宋体" w:cs="宋体"/>
                <w:b/>
                <w:highlight w:val="none"/>
              </w:rPr>
              <w:t>专业名称</w:t>
            </w:r>
          </w:p>
        </w:tc>
        <w:tc>
          <w:tcPr>
            <w:tcW w:w="645" w:type="pct"/>
            <w:vMerge w:val="restart"/>
            <w:noWrap w:val="0"/>
            <w:vAlign w:val="center"/>
          </w:tcPr>
          <w:p w14:paraId="2388EC77">
            <w:pPr>
              <w:pStyle w:val="32"/>
              <w:jc w:val="center"/>
              <w:rPr>
                <w:rFonts w:hint="eastAsia" w:ascii="宋体" w:hAnsi="宋体" w:eastAsia="宋体" w:cs="宋体"/>
                <w:b/>
                <w:highlight w:val="none"/>
              </w:rPr>
            </w:pPr>
            <w:r>
              <w:rPr>
                <w:rFonts w:hint="eastAsia" w:ascii="宋体" w:hAnsi="宋体" w:eastAsia="宋体" w:cs="宋体"/>
                <w:b/>
                <w:highlight w:val="none"/>
              </w:rPr>
              <w:t>毕业生</w:t>
            </w:r>
          </w:p>
          <w:p w14:paraId="69E0BB3C">
            <w:pPr>
              <w:pStyle w:val="32"/>
              <w:jc w:val="center"/>
              <w:rPr>
                <w:rFonts w:hint="eastAsia" w:ascii="宋体" w:hAnsi="宋体" w:eastAsia="宋体" w:cs="宋体"/>
                <w:b/>
                <w:highlight w:val="none"/>
              </w:rPr>
            </w:pPr>
            <w:r>
              <w:rPr>
                <w:rFonts w:hint="eastAsia" w:ascii="宋体" w:hAnsi="宋体" w:eastAsia="宋体" w:cs="宋体"/>
                <w:b/>
                <w:highlight w:val="none"/>
              </w:rPr>
              <w:t>人数</w:t>
            </w:r>
          </w:p>
        </w:tc>
        <w:tc>
          <w:tcPr>
            <w:tcW w:w="1349" w:type="pct"/>
            <w:gridSpan w:val="2"/>
            <w:noWrap w:val="0"/>
            <w:vAlign w:val="center"/>
          </w:tcPr>
          <w:p w14:paraId="57DE5869">
            <w:pPr>
              <w:pStyle w:val="32"/>
              <w:jc w:val="center"/>
              <w:rPr>
                <w:rFonts w:hint="eastAsia" w:ascii="宋体" w:hAnsi="宋体" w:eastAsia="宋体" w:cs="宋体"/>
                <w:b/>
                <w:highlight w:val="none"/>
              </w:rPr>
            </w:pPr>
            <w:r>
              <w:rPr>
                <w:rFonts w:hint="eastAsia" w:ascii="宋体" w:hAnsi="宋体" w:eastAsia="宋体" w:cs="宋体"/>
                <w:b/>
                <w:highlight w:val="none"/>
              </w:rPr>
              <w:t>毕业去向落实人数</w:t>
            </w:r>
          </w:p>
        </w:tc>
        <w:tc>
          <w:tcPr>
            <w:tcW w:w="513" w:type="pct"/>
            <w:vMerge w:val="restart"/>
            <w:noWrap w:val="0"/>
            <w:vAlign w:val="center"/>
          </w:tcPr>
          <w:p w14:paraId="4588247E">
            <w:pPr>
              <w:pStyle w:val="32"/>
              <w:jc w:val="center"/>
              <w:rPr>
                <w:rFonts w:hint="eastAsia" w:ascii="宋体" w:hAnsi="宋体" w:eastAsia="宋体" w:cs="宋体"/>
                <w:b/>
                <w:highlight w:val="none"/>
              </w:rPr>
            </w:pPr>
            <w:r>
              <w:rPr>
                <w:rFonts w:hint="eastAsia" w:ascii="宋体" w:hAnsi="宋体" w:eastAsia="宋体" w:cs="宋体"/>
                <w:b/>
                <w:highlight w:val="none"/>
              </w:rPr>
              <w:t>未就业</w:t>
            </w:r>
          </w:p>
          <w:p w14:paraId="00EE4C02">
            <w:pPr>
              <w:pStyle w:val="32"/>
              <w:jc w:val="center"/>
              <w:rPr>
                <w:rFonts w:hint="eastAsia" w:ascii="宋体" w:hAnsi="宋体" w:eastAsia="宋体" w:cs="宋体"/>
                <w:b/>
                <w:highlight w:val="none"/>
              </w:rPr>
            </w:pPr>
            <w:r>
              <w:rPr>
                <w:rFonts w:hint="eastAsia" w:ascii="宋体" w:hAnsi="宋体" w:eastAsia="宋体" w:cs="宋体"/>
                <w:b/>
                <w:highlight w:val="none"/>
              </w:rPr>
              <w:t>人数</w:t>
            </w:r>
          </w:p>
        </w:tc>
        <w:tc>
          <w:tcPr>
            <w:tcW w:w="643" w:type="pct"/>
            <w:vMerge w:val="restart"/>
            <w:noWrap w:val="0"/>
            <w:vAlign w:val="center"/>
          </w:tcPr>
          <w:p w14:paraId="14497318">
            <w:pPr>
              <w:pStyle w:val="32"/>
              <w:jc w:val="center"/>
              <w:rPr>
                <w:rFonts w:hint="eastAsia" w:ascii="宋体" w:hAnsi="宋体" w:eastAsia="宋体" w:cs="宋体"/>
                <w:b/>
                <w:highlight w:val="none"/>
              </w:rPr>
            </w:pPr>
            <w:r>
              <w:rPr>
                <w:rFonts w:hint="eastAsia" w:ascii="宋体" w:hAnsi="宋体" w:eastAsia="宋体" w:cs="宋体"/>
                <w:b/>
                <w:highlight w:val="none"/>
              </w:rPr>
              <w:t>毕业去向</w:t>
            </w:r>
          </w:p>
          <w:p w14:paraId="7675282F">
            <w:pPr>
              <w:pStyle w:val="32"/>
              <w:jc w:val="center"/>
              <w:rPr>
                <w:rFonts w:hint="eastAsia" w:ascii="宋体" w:hAnsi="宋体" w:eastAsia="宋体" w:cs="宋体"/>
                <w:b/>
                <w:highlight w:val="none"/>
              </w:rPr>
            </w:pPr>
            <w:r>
              <w:rPr>
                <w:rFonts w:hint="eastAsia" w:ascii="宋体" w:hAnsi="宋体" w:eastAsia="宋体" w:cs="宋体"/>
                <w:b/>
                <w:highlight w:val="none"/>
              </w:rPr>
              <w:t>落实率%</w:t>
            </w:r>
          </w:p>
        </w:tc>
      </w:tr>
      <w:tr w14:paraId="7DF44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tblHeader/>
          <w:jc w:val="center"/>
        </w:trPr>
        <w:tc>
          <w:tcPr>
            <w:tcW w:w="323" w:type="pct"/>
            <w:vMerge w:val="continue"/>
            <w:noWrap w:val="0"/>
            <w:vAlign w:val="center"/>
          </w:tcPr>
          <w:p w14:paraId="774D7516">
            <w:pPr>
              <w:pStyle w:val="32"/>
              <w:jc w:val="center"/>
              <w:rPr>
                <w:rFonts w:hint="eastAsia" w:ascii="宋体" w:hAnsi="宋体" w:eastAsia="宋体" w:cs="宋体"/>
                <w:b/>
                <w:highlight w:val="none"/>
              </w:rPr>
            </w:pPr>
          </w:p>
        </w:tc>
        <w:tc>
          <w:tcPr>
            <w:tcW w:w="1524" w:type="pct"/>
            <w:vMerge w:val="continue"/>
            <w:noWrap w:val="0"/>
            <w:vAlign w:val="center"/>
          </w:tcPr>
          <w:p w14:paraId="08741E60">
            <w:pPr>
              <w:pStyle w:val="32"/>
              <w:jc w:val="center"/>
              <w:rPr>
                <w:rFonts w:hint="eastAsia" w:ascii="宋体" w:hAnsi="宋体" w:eastAsia="宋体" w:cs="宋体"/>
                <w:b/>
                <w:highlight w:val="none"/>
              </w:rPr>
            </w:pPr>
          </w:p>
        </w:tc>
        <w:tc>
          <w:tcPr>
            <w:tcW w:w="645" w:type="pct"/>
            <w:vMerge w:val="continue"/>
            <w:noWrap w:val="0"/>
            <w:vAlign w:val="center"/>
          </w:tcPr>
          <w:p w14:paraId="676C73B7">
            <w:pPr>
              <w:pStyle w:val="32"/>
              <w:jc w:val="center"/>
              <w:rPr>
                <w:rFonts w:hint="eastAsia" w:ascii="宋体" w:hAnsi="宋体" w:eastAsia="宋体" w:cs="宋体"/>
                <w:b/>
                <w:highlight w:val="none"/>
              </w:rPr>
            </w:pPr>
          </w:p>
        </w:tc>
        <w:tc>
          <w:tcPr>
            <w:tcW w:w="749" w:type="pct"/>
            <w:noWrap w:val="0"/>
            <w:vAlign w:val="center"/>
          </w:tcPr>
          <w:p w14:paraId="4D98A067">
            <w:pPr>
              <w:pStyle w:val="32"/>
              <w:jc w:val="center"/>
              <w:rPr>
                <w:rFonts w:hint="eastAsia" w:ascii="宋体" w:hAnsi="宋体" w:eastAsia="宋体" w:cs="宋体"/>
                <w:b/>
                <w:highlight w:val="none"/>
                <w:lang w:eastAsia="zh-CN"/>
              </w:rPr>
            </w:pPr>
            <w:r>
              <w:rPr>
                <w:rFonts w:hint="eastAsia" w:cs="宋体"/>
                <w:b/>
                <w:highlight w:val="none"/>
                <w:lang w:val="en-US" w:eastAsia="zh-CN"/>
              </w:rPr>
              <w:t>升学</w:t>
            </w:r>
          </w:p>
        </w:tc>
        <w:tc>
          <w:tcPr>
            <w:tcW w:w="599" w:type="pct"/>
            <w:noWrap w:val="0"/>
            <w:vAlign w:val="center"/>
          </w:tcPr>
          <w:p w14:paraId="53F0D255">
            <w:pPr>
              <w:pStyle w:val="32"/>
              <w:jc w:val="center"/>
              <w:rPr>
                <w:rFonts w:hint="eastAsia" w:ascii="宋体" w:hAnsi="宋体" w:eastAsia="宋体" w:cs="宋体"/>
                <w:b/>
                <w:highlight w:val="none"/>
                <w:lang w:eastAsia="zh-CN"/>
              </w:rPr>
            </w:pPr>
            <w:r>
              <w:rPr>
                <w:rFonts w:hint="eastAsia" w:cs="宋体"/>
                <w:b/>
                <w:highlight w:val="none"/>
                <w:lang w:val="en-US" w:eastAsia="zh-CN"/>
              </w:rPr>
              <w:t>就业</w:t>
            </w:r>
          </w:p>
        </w:tc>
        <w:tc>
          <w:tcPr>
            <w:tcW w:w="513" w:type="pct"/>
            <w:vMerge w:val="continue"/>
            <w:noWrap w:val="0"/>
            <w:vAlign w:val="center"/>
          </w:tcPr>
          <w:p w14:paraId="68FB2AFB">
            <w:pPr>
              <w:pStyle w:val="32"/>
              <w:jc w:val="center"/>
              <w:rPr>
                <w:rFonts w:hint="eastAsia" w:ascii="宋体" w:hAnsi="宋体" w:eastAsia="宋体" w:cs="宋体"/>
                <w:b/>
                <w:highlight w:val="none"/>
              </w:rPr>
            </w:pPr>
          </w:p>
        </w:tc>
        <w:tc>
          <w:tcPr>
            <w:tcW w:w="643" w:type="pct"/>
            <w:vMerge w:val="continue"/>
            <w:noWrap w:val="0"/>
            <w:vAlign w:val="center"/>
          </w:tcPr>
          <w:p w14:paraId="5ACD6688">
            <w:pPr>
              <w:pStyle w:val="32"/>
              <w:jc w:val="center"/>
              <w:rPr>
                <w:rFonts w:hint="eastAsia" w:ascii="宋体" w:hAnsi="宋体" w:eastAsia="宋体" w:cs="宋体"/>
                <w:b/>
                <w:highlight w:val="none"/>
              </w:rPr>
            </w:pPr>
          </w:p>
        </w:tc>
      </w:tr>
      <w:tr w14:paraId="55CC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2FCBD82A">
            <w:pPr>
              <w:pStyle w:val="32"/>
              <w:jc w:val="center"/>
              <w:rPr>
                <w:rFonts w:hint="eastAsia" w:ascii="宋体" w:hAnsi="宋体" w:eastAsia="宋体" w:cs="宋体"/>
                <w:highlight w:val="none"/>
              </w:rPr>
            </w:pPr>
            <w:r>
              <w:rPr>
                <w:rFonts w:hint="eastAsia" w:ascii="宋体" w:hAnsi="宋体" w:eastAsia="宋体" w:cs="宋体"/>
                <w:highlight w:val="none"/>
              </w:rPr>
              <w:t>1</w:t>
            </w:r>
          </w:p>
        </w:tc>
        <w:tc>
          <w:tcPr>
            <w:tcW w:w="2763" w:type="dxa"/>
            <w:noWrap w:val="0"/>
            <w:vAlign w:val="center"/>
          </w:tcPr>
          <w:p w14:paraId="62E0A4D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绘画</w:t>
            </w:r>
          </w:p>
        </w:tc>
        <w:tc>
          <w:tcPr>
            <w:tcW w:w="1170" w:type="dxa"/>
            <w:noWrap w:val="0"/>
            <w:vAlign w:val="center"/>
          </w:tcPr>
          <w:p w14:paraId="36583CD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29</w:t>
            </w:r>
          </w:p>
        </w:tc>
        <w:tc>
          <w:tcPr>
            <w:tcW w:w="1358" w:type="dxa"/>
            <w:noWrap w:val="0"/>
            <w:vAlign w:val="center"/>
          </w:tcPr>
          <w:p w14:paraId="11EEFC6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088" w:type="dxa"/>
            <w:noWrap w:val="0"/>
            <w:vAlign w:val="center"/>
          </w:tcPr>
          <w:p w14:paraId="687C20A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28</w:t>
            </w:r>
          </w:p>
        </w:tc>
        <w:tc>
          <w:tcPr>
            <w:tcW w:w="930" w:type="dxa"/>
            <w:noWrap w:val="0"/>
            <w:vAlign w:val="center"/>
          </w:tcPr>
          <w:p w14:paraId="04DA206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0</w:t>
            </w:r>
          </w:p>
        </w:tc>
        <w:tc>
          <w:tcPr>
            <w:tcW w:w="1166" w:type="dxa"/>
            <w:noWrap w:val="0"/>
            <w:vAlign w:val="center"/>
          </w:tcPr>
          <w:p w14:paraId="7980861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100.00%</w:t>
            </w:r>
          </w:p>
        </w:tc>
      </w:tr>
      <w:tr w14:paraId="5D23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70914DEB">
            <w:pPr>
              <w:pStyle w:val="32"/>
              <w:jc w:val="center"/>
              <w:rPr>
                <w:rFonts w:hint="eastAsia" w:ascii="宋体" w:hAnsi="宋体" w:eastAsia="宋体" w:cs="宋体"/>
                <w:highlight w:val="none"/>
              </w:rPr>
            </w:pPr>
            <w:r>
              <w:rPr>
                <w:rFonts w:hint="eastAsia" w:ascii="宋体" w:hAnsi="宋体" w:eastAsia="宋体" w:cs="宋体"/>
                <w:highlight w:val="none"/>
              </w:rPr>
              <w:t>2</w:t>
            </w:r>
          </w:p>
        </w:tc>
        <w:tc>
          <w:tcPr>
            <w:tcW w:w="2763" w:type="dxa"/>
            <w:noWrap w:val="0"/>
            <w:vAlign w:val="center"/>
          </w:tcPr>
          <w:p w14:paraId="3C2E059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药学</w:t>
            </w:r>
          </w:p>
        </w:tc>
        <w:tc>
          <w:tcPr>
            <w:tcW w:w="1170" w:type="dxa"/>
            <w:noWrap w:val="0"/>
            <w:vAlign w:val="center"/>
          </w:tcPr>
          <w:p w14:paraId="45BAA8E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149</w:t>
            </w:r>
          </w:p>
        </w:tc>
        <w:tc>
          <w:tcPr>
            <w:tcW w:w="1358" w:type="dxa"/>
            <w:noWrap w:val="0"/>
            <w:vAlign w:val="center"/>
          </w:tcPr>
          <w:p w14:paraId="70483E70">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25</w:t>
            </w:r>
          </w:p>
        </w:tc>
        <w:tc>
          <w:tcPr>
            <w:tcW w:w="1088" w:type="dxa"/>
            <w:noWrap w:val="0"/>
            <w:vAlign w:val="center"/>
          </w:tcPr>
          <w:p w14:paraId="1D8BA12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114</w:t>
            </w:r>
          </w:p>
        </w:tc>
        <w:tc>
          <w:tcPr>
            <w:tcW w:w="930" w:type="dxa"/>
            <w:noWrap w:val="0"/>
            <w:vAlign w:val="center"/>
          </w:tcPr>
          <w:p w14:paraId="7FAFB46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10</w:t>
            </w:r>
          </w:p>
        </w:tc>
        <w:tc>
          <w:tcPr>
            <w:tcW w:w="1166" w:type="dxa"/>
            <w:noWrap w:val="0"/>
            <w:vAlign w:val="center"/>
          </w:tcPr>
          <w:p w14:paraId="0E84270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93.29%</w:t>
            </w:r>
          </w:p>
        </w:tc>
      </w:tr>
      <w:tr w14:paraId="0815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70671566">
            <w:pPr>
              <w:pStyle w:val="32"/>
              <w:jc w:val="center"/>
              <w:rPr>
                <w:rFonts w:hint="eastAsia" w:ascii="宋体" w:hAnsi="宋体" w:eastAsia="宋体" w:cs="宋体"/>
                <w:highlight w:val="none"/>
              </w:rPr>
            </w:pPr>
            <w:r>
              <w:rPr>
                <w:rFonts w:hint="eastAsia" w:ascii="宋体" w:hAnsi="宋体" w:eastAsia="宋体" w:cs="宋体"/>
                <w:highlight w:val="none"/>
              </w:rPr>
              <w:t>3</w:t>
            </w:r>
          </w:p>
        </w:tc>
        <w:tc>
          <w:tcPr>
            <w:tcW w:w="2763" w:type="dxa"/>
            <w:noWrap w:val="0"/>
            <w:vAlign w:val="center"/>
          </w:tcPr>
          <w:p w14:paraId="11E26EF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中药学</w:t>
            </w:r>
          </w:p>
        </w:tc>
        <w:tc>
          <w:tcPr>
            <w:tcW w:w="1170" w:type="dxa"/>
            <w:noWrap w:val="0"/>
            <w:vAlign w:val="center"/>
          </w:tcPr>
          <w:p w14:paraId="3ADCD98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106</w:t>
            </w:r>
          </w:p>
        </w:tc>
        <w:tc>
          <w:tcPr>
            <w:tcW w:w="1358" w:type="dxa"/>
            <w:noWrap w:val="0"/>
            <w:vAlign w:val="center"/>
          </w:tcPr>
          <w:p w14:paraId="2F172F9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11</w:t>
            </w:r>
          </w:p>
        </w:tc>
        <w:tc>
          <w:tcPr>
            <w:tcW w:w="1088" w:type="dxa"/>
            <w:noWrap w:val="0"/>
            <w:vAlign w:val="center"/>
          </w:tcPr>
          <w:p w14:paraId="431310B4">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87</w:t>
            </w:r>
          </w:p>
        </w:tc>
        <w:tc>
          <w:tcPr>
            <w:tcW w:w="930" w:type="dxa"/>
            <w:noWrap w:val="0"/>
            <w:vAlign w:val="center"/>
          </w:tcPr>
          <w:p w14:paraId="56DFE77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w:t>
            </w:r>
          </w:p>
        </w:tc>
        <w:tc>
          <w:tcPr>
            <w:tcW w:w="1166" w:type="dxa"/>
            <w:noWrap w:val="0"/>
            <w:vAlign w:val="center"/>
          </w:tcPr>
          <w:p w14:paraId="3FD5776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92.45%</w:t>
            </w:r>
          </w:p>
        </w:tc>
      </w:tr>
      <w:tr w14:paraId="1289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61940362">
            <w:pPr>
              <w:pStyle w:val="32"/>
              <w:jc w:val="center"/>
              <w:rPr>
                <w:rFonts w:hint="eastAsia" w:ascii="宋体" w:hAnsi="宋体" w:eastAsia="宋体" w:cs="宋体"/>
                <w:highlight w:val="none"/>
              </w:rPr>
            </w:pPr>
            <w:r>
              <w:rPr>
                <w:rFonts w:hint="eastAsia" w:ascii="宋体" w:hAnsi="宋体" w:eastAsia="宋体" w:cs="宋体"/>
                <w:highlight w:val="none"/>
              </w:rPr>
              <w:t>4</w:t>
            </w:r>
          </w:p>
        </w:tc>
        <w:tc>
          <w:tcPr>
            <w:tcW w:w="2763" w:type="dxa"/>
            <w:noWrap w:val="0"/>
            <w:vAlign w:val="center"/>
          </w:tcPr>
          <w:p w14:paraId="5B16154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计算机科学与技术</w:t>
            </w:r>
          </w:p>
        </w:tc>
        <w:tc>
          <w:tcPr>
            <w:tcW w:w="1170" w:type="dxa"/>
            <w:noWrap w:val="0"/>
            <w:vAlign w:val="center"/>
          </w:tcPr>
          <w:p w14:paraId="6814997B">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171</w:t>
            </w:r>
          </w:p>
        </w:tc>
        <w:tc>
          <w:tcPr>
            <w:tcW w:w="1358" w:type="dxa"/>
            <w:noWrap w:val="0"/>
            <w:vAlign w:val="center"/>
          </w:tcPr>
          <w:p w14:paraId="3AE6731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088" w:type="dxa"/>
            <w:noWrap w:val="0"/>
            <w:vAlign w:val="center"/>
          </w:tcPr>
          <w:p w14:paraId="770EB51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153</w:t>
            </w:r>
          </w:p>
        </w:tc>
        <w:tc>
          <w:tcPr>
            <w:tcW w:w="930" w:type="dxa"/>
            <w:noWrap w:val="0"/>
            <w:vAlign w:val="center"/>
          </w:tcPr>
          <w:p w14:paraId="02C27E0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13</w:t>
            </w:r>
          </w:p>
        </w:tc>
        <w:tc>
          <w:tcPr>
            <w:tcW w:w="1166" w:type="dxa"/>
            <w:noWrap w:val="0"/>
            <w:vAlign w:val="center"/>
          </w:tcPr>
          <w:p w14:paraId="6E0BFF7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92.40%</w:t>
            </w:r>
          </w:p>
        </w:tc>
      </w:tr>
      <w:tr w14:paraId="0C55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674F7B72">
            <w:pPr>
              <w:pStyle w:val="32"/>
              <w:jc w:val="center"/>
              <w:rPr>
                <w:rFonts w:hint="eastAsia" w:ascii="宋体" w:hAnsi="宋体" w:eastAsia="宋体" w:cs="宋体"/>
                <w:highlight w:val="none"/>
              </w:rPr>
            </w:pPr>
            <w:r>
              <w:rPr>
                <w:rFonts w:hint="eastAsia" w:ascii="宋体" w:hAnsi="宋体" w:eastAsia="宋体" w:cs="宋体"/>
                <w:highlight w:val="none"/>
              </w:rPr>
              <w:t>5</w:t>
            </w:r>
          </w:p>
        </w:tc>
        <w:tc>
          <w:tcPr>
            <w:tcW w:w="2763" w:type="dxa"/>
            <w:noWrap w:val="0"/>
            <w:vAlign w:val="center"/>
          </w:tcPr>
          <w:p w14:paraId="7854245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数据科学与大数据技术</w:t>
            </w:r>
          </w:p>
        </w:tc>
        <w:tc>
          <w:tcPr>
            <w:tcW w:w="1170" w:type="dxa"/>
            <w:noWrap w:val="0"/>
            <w:vAlign w:val="center"/>
          </w:tcPr>
          <w:p w14:paraId="0FF8E68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51</w:t>
            </w:r>
          </w:p>
        </w:tc>
        <w:tc>
          <w:tcPr>
            <w:tcW w:w="1358" w:type="dxa"/>
            <w:noWrap w:val="0"/>
            <w:vAlign w:val="center"/>
          </w:tcPr>
          <w:p w14:paraId="3F8E97C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1088" w:type="dxa"/>
            <w:noWrap w:val="0"/>
            <w:vAlign w:val="center"/>
          </w:tcPr>
          <w:p w14:paraId="7F692DC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43</w:t>
            </w:r>
          </w:p>
        </w:tc>
        <w:tc>
          <w:tcPr>
            <w:tcW w:w="930" w:type="dxa"/>
            <w:noWrap w:val="0"/>
            <w:vAlign w:val="center"/>
          </w:tcPr>
          <w:p w14:paraId="3182203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1166" w:type="dxa"/>
            <w:noWrap w:val="0"/>
            <w:vAlign w:val="center"/>
          </w:tcPr>
          <w:p w14:paraId="70AE1C7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92.16%</w:t>
            </w:r>
          </w:p>
        </w:tc>
      </w:tr>
      <w:tr w14:paraId="7FDA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1FDF7495">
            <w:pPr>
              <w:pStyle w:val="32"/>
              <w:jc w:val="center"/>
              <w:rPr>
                <w:rFonts w:hint="eastAsia" w:ascii="宋体" w:hAnsi="宋体" w:eastAsia="宋体" w:cs="宋体"/>
                <w:highlight w:val="none"/>
              </w:rPr>
            </w:pPr>
            <w:r>
              <w:rPr>
                <w:rFonts w:hint="eastAsia" w:ascii="宋体" w:hAnsi="宋体" w:eastAsia="宋体" w:cs="宋体"/>
                <w:highlight w:val="none"/>
              </w:rPr>
              <w:t>6</w:t>
            </w:r>
          </w:p>
        </w:tc>
        <w:tc>
          <w:tcPr>
            <w:tcW w:w="2763" w:type="dxa"/>
            <w:noWrap w:val="0"/>
            <w:vAlign w:val="center"/>
          </w:tcPr>
          <w:p w14:paraId="2CB01D7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数字媒体技术</w:t>
            </w:r>
          </w:p>
        </w:tc>
        <w:tc>
          <w:tcPr>
            <w:tcW w:w="1170" w:type="dxa"/>
            <w:noWrap w:val="0"/>
            <w:vAlign w:val="center"/>
          </w:tcPr>
          <w:p w14:paraId="73DEA7D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38</w:t>
            </w:r>
          </w:p>
        </w:tc>
        <w:tc>
          <w:tcPr>
            <w:tcW w:w="1358" w:type="dxa"/>
            <w:noWrap w:val="0"/>
            <w:vAlign w:val="center"/>
          </w:tcPr>
          <w:p w14:paraId="087B94A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1088" w:type="dxa"/>
            <w:noWrap w:val="0"/>
            <w:vAlign w:val="center"/>
          </w:tcPr>
          <w:p w14:paraId="7410923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31</w:t>
            </w:r>
          </w:p>
        </w:tc>
        <w:tc>
          <w:tcPr>
            <w:tcW w:w="930" w:type="dxa"/>
            <w:noWrap w:val="0"/>
            <w:vAlign w:val="center"/>
          </w:tcPr>
          <w:p w14:paraId="059707A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1166" w:type="dxa"/>
            <w:noWrap w:val="0"/>
            <w:vAlign w:val="center"/>
          </w:tcPr>
          <w:p w14:paraId="66F4F9A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92.11%</w:t>
            </w:r>
          </w:p>
        </w:tc>
      </w:tr>
      <w:tr w14:paraId="2AE3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307F26C9">
            <w:pPr>
              <w:pStyle w:val="32"/>
              <w:jc w:val="center"/>
              <w:rPr>
                <w:rFonts w:hint="eastAsia" w:ascii="宋体" w:hAnsi="宋体" w:eastAsia="宋体" w:cs="宋体"/>
                <w:highlight w:val="none"/>
              </w:rPr>
            </w:pPr>
            <w:r>
              <w:rPr>
                <w:rFonts w:hint="eastAsia" w:ascii="宋体" w:hAnsi="宋体" w:eastAsia="宋体" w:cs="宋体"/>
                <w:highlight w:val="none"/>
              </w:rPr>
              <w:t>7</w:t>
            </w:r>
          </w:p>
        </w:tc>
        <w:tc>
          <w:tcPr>
            <w:tcW w:w="2763" w:type="dxa"/>
            <w:noWrap w:val="0"/>
            <w:vAlign w:val="center"/>
          </w:tcPr>
          <w:p w14:paraId="7625512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助产学</w:t>
            </w:r>
          </w:p>
        </w:tc>
        <w:tc>
          <w:tcPr>
            <w:tcW w:w="1170" w:type="dxa"/>
            <w:noWrap w:val="0"/>
            <w:vAlign w:val="center"/>
          </w:tcPr>
          <w:p w14:paraId="313F5FE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61</w:t>
            </w:r>
          </w:p>
        </w:tc>
        <w:tc>
          <w:tcPr>
            <w:tcW w:w="1358" w:type="dxa"/>
            <w:noWrap w:val="0"/>
            <w:vAlign w:val="center"/>
          </w:tcPr>
          <w:p w14:paraId="63697910">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088" w:type="dxa"/>
            <w:noWrap w:val="0"/>
            <w:vAlign w:val="center"/>
          </w:tcPr>
          <w:p w14:paraId="4B610D8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55</w:t>
            </w:r>
          </w:p>
        </w:tc>
        <w:tc>
          <w:tcPr>
            <w:tcW w:w="930" w:type="dxa"/>
            <w:noWrap w:val="0"/>
            <w:vAlign w:val="center"/>
          </w:tcPr>
          <w:p w14:paraId="5D77F9B0">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166" w:type="dxa"/>
            <w:noWrap w:val="0"/>
            <w:vAlign w:val="center"/>
          </w:tcPr>
          <w:p w14:paraId="42E4D1A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91.80%</w:t>
            </w:r>
          </w:p>
        </w:tc>
      </w:tr>
      <w:tr w14:paraId="6BBD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3FDFA0FD">
            <w:pPr>
              <w:pStyle w:val="32"/>
              <w:jc w:val="center"/>
              <w:rPr>
                <w:rFonts w:hint="eastAsia" w:ascii="宋体" w:hAnsi="宋体" w:eastAsia="宋体" w:cs="宋体"/>
                <w:highlight w:val="none"/>
              </w:rPr>
            </w:pPr>
            <w:r>
              <w:rPr>
                <w:rFonts w:hint="eastAsia" w:ascii="宋体" w:hAnsi="宋体" w:eastAsia="宋体" w:cs="宋体"/>
                <w:highlight w:val="none"/>
              </w:rPr>
              <w:t>8</w:t>
            </w:r>
          </w:p>
        </w:tc>
        <w:tc>
          <w:tcPr>
            <w:tcW w:w="2763" w:type="dxa"/>
            <w:noWrap w:val="0"/>
            <w:vAlign w:val="center"/>
          </w:tcPr>
          <w:p w14:paraId="65F2BB0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电子信息工程</w:t>
            </w:r>
          </w:p>
        </w:tc>
        <w:tc>
          <w:tcPr>
            <w:tcW w:w="1170" w:type="dxa"/>
            <w:noWrap w:val="0"/>
            <w:vAlign w:val="center"/>
          </w:tcPr>
          <w:p w14:paraId="7BF6EFB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48</w:t>
            </w:r>
          </w:p>
        </w:tc>
        <w:tc>
          <w:tcPr>
            <w:tcW w:w="1358" w:type="dxa"/>
            <w:noWrap w:val="0"/>
            <w:vAlign w:val="center"/>
          </w:tcPr>
          <w:p w14:paraId="16742B5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1088" w:type="dxa"/>
            <w:noWrap w:val="0"/>
            <w:vAlign w:val="center"/>
          </w:tcPr>
          <w:p w14:paraId="4CEE35B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37</w:t>
            </w:r>
          </w:p>
        </w:tc>
        <w:tc>
          <w:tcPr>
            <w:tcW w:w="930" w:type="dxa"/>
            <w:noWrap w:val="0"/>
            <w:vAlign w:val="center"/>
          </w:tcPr>
          <w:p w14:paraId="0B031F7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1166" w:type="dxa"/>
            <w:noWrap w:val="0"/>
            <w:vAlign w:val="center"/>
          </w:tcPr>
          <w:p w14:paraId="4448651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91.67%</w:t>
            </w:r>
          </w:p>
        </w:tc>
      </w:tr>
      <w:tr w14:paraId="6F3F5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108533B8">
            <w:pPr>
              <w:pStyle w:val="32"/>
              <w:jc w:val="center"/>
              <w:rPr>
                <w:rFonts w:hint="eastAsia" w:ascii="宋体" w:hAnsi="宋体" w:eastAsia="宋体" w:cs="宋体"/>
                <w:highlight w:val="none"/>
              </w:rPr>
            </w:pPr>
            <w:r>
              <w:rPr>
                <w:rFonts w:hint="eastAsia" w:ascii="宋体" w:hAnsi="宋体" w:eastAsia="宋体" w:cs="宋体"/>
                <w:highlight w:val="none"/>
              </w:rPr>
              <w:t>9</w:t>
            </w:r>
          </w:p>
        </w:tc>
        <w:tc>
          <w:tcPr>
            <w:tcW w:w="2763" w:type="dxa"/>
            <w:noWrap w:val="0"/>
            <w:vAlign w:val="center"/>
          </w:tcPr>
          <w:p w14:paraId="3116458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中药制药</w:t>
            </w:r>
          </w:p>
        </w:tc>
        <w:tc>
          <w:tcPr>
            <w:tcW w:w="1170" w:type="dxa"/>
            <w:noWrap w:val="0"/>
            <w:vAlign w:val="center"/>
          </w:tcPr>
          <w:p w14:paraId="5C6B0DE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96</w:t>
            </w:r>
          </w:p>
        </w:tc>
        <w:tc>
          <w:tcPr>
            <w:tcW w:w="1358" w:type="dxa"/>
            <w:noWrap w:val="0"/>
            <w:vAlign w:val="center"/>
          </w:tcPr>
          <w:p w14:paraId="6212822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6</w:t>
            </w:r>
          </w:p>
        </w:tc>
        <w:tc>
          <w:tcPr>
            <w:tcW w:w="1088" w:type="dxa"/>
            <w:noWrap w:val="0"/>
            <w:vAlign w:val="center"/>
          </w:tcPr>
          <w:p w14:paraId="2F4BAF3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82</w:t>
            </w:r>
          </w:p>
        </w:tc>
        <w:tc>
          <w:tcPr>
            <w:tcW w:w="930" w:type="dxa"/>
            <w:noWrap w:val="0"/>
            <w:vAlign w:val="center"/>
          </w:tcPr>
          <w:p w14:paraId="6FB7053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w:t>
            </w:r>
          </w:p>
        </w:tc>
        <w:tc>
          <w:tcPr>
            <w:tcW w:w="1166" w:type="dxa"/>
            <w:noWrap w:val="0"/>
            <w:vAlign w:val="center"/>
          </w:tcPr>
          <w:p w14:paraId="7C89FF2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91.67%</w:t>
            </w:r>
          </w:p>
        </w:tc>
      </w:tr>
      <w:tr w14:paraId="0EED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5CE3D336">
            <w:pPr>
              <w:pStyle w:val="32"/>
              <w:jc w:val="center"/>
              <w:rPr>
                <w:rFonts w:hint="eastAsia" w:ascii="宋体" w:hAnsi="宋体" w:eastAsia="宋体" w:cs="宋体"/>
                <w:highlight w:val="none"/>
              </w:rPr>
            </w:pPr>
            <w:r>
              <w:rPr>
                <w:rFonts w:hint="eastAsia" w:ascii="宋体" w:hAnsi="宋体" w:eastAsia="宋体" w:cs="宋体"/>
                <w:highlight w:val="none"/>
              </w:rPr>
              <w:t>10</w:t>
            </w:r>
          </w:p>
        </w:tc>
        <w:tc>
          <w:tcPr>
            <w:tcW w:w="2763" w:type="dxa"/>
            <w:noWrap w:val="0"/>
            <w:vAlign w:val="center"/>
          </w:tcPr>
          <w:p w14:paraId="0E8CA77B">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视觉传达设计</w:t>
            </w:r>
          </w:p>
        </w:tc>
        <w:tc>
          <w:tcPr>
            <w:tcW w:w="1170" w:type="dxa"/>
            <w:noWrap w:val="0"/>
            <w:vAlign w:val="center"/>
          </w:tcPr>
          <w:p w14:paraId="4205793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82</w:t>
            </w:r>
          </w:p>
        </w:tc>
        <w:tc>
          <w:tcPr>
            <w:tcW w:w="1358" w:type="dxa"/>
            <w:noWrap w:val="0"/>
            <w:vAlign w:val="center"/>
          </w:tcPr>
          <w:p w14:paraId="6E727A5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1088" w:type="dxa"/>
            <w:noWrap w:val="0"/>
            <w:vAlign w:val="center"/>
          </w:tcPr>
          <w:p w14:paraId="649CEE0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72</w:t>
            </w:r>
          </w:p>
        </w:tc>
        <w:tc>
          <w:tcPr>
            <w:tcW w:w="930" w:type="dxa"/>
            <w:noWrap w:val="0"/>
            <w:vAlign w:val="center"/>
          </w:tcPr>
          <w:p w14:paraId="3F7C6414">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1166" w:type="dxa"/>
            <w:noWrap w:val="0"/>
            <w:vAlign w:val="center"/>
          </w:tcPr>
          <w:p w14:paraId="0AC3EB2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91.46%</w:t>
            </w:r>
          </w:p>
        </w:tc>
      </w:tr>
      <w:tr w14:paraId="023E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10BB366B">
            <w:pPr>
              <w:pStyle w:val="32"/>
              <w:jc w:val="center"/>
              <w:rPr>
                <w:rFonts w:hint="eastAsia" w:ascii="宋体" w:hAnsi="宋体" w:eastAsia="宋体" w:cs="宋体"/>
                <w:highlight w:val="none"/>
              </w:rPr>
            </w:pPr>
            <w:r>
              <w:rPr>
                <w:rFonts w:hint="eastAsia" w:ascii="宋体" w:hAnsi="宋体" w:eastAsia="宋体" w:cs="宋体"/>
                <w:highlight w:val="none"/>
              </w:rPr>
              <w:t>11</w:t>
            </w:r>
          </w:p>
        </w:tc>
        <w:tc>
          <w:tcPr>
            <w:tcW w:w="2763" w:type="dxa"/>
            <w:noWrap w:val="0"/>
            <w:vAlign w:val="center"/>
          </w:tcPr>
          <w:p w14:paraId="76D1EC4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网络工程</w:t>
            </w:r>
          </w:p>
        </w:tc>
        <w:tc>
          <w:tcPr>
            <w:tcW w:w="1170" w:type="dxa"/>
            <w:noWrap w:val="0"/>
            <w:vAlign w:val="center"/>
          </w:tcPr>
          <w:p w14:paraId="5433AD4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30</w:t>
            </w:r>
          </w:p>
        </w:tc>
        <w:tc>
          <w:tcPr>
            <w:tcW w:w="1358" w:type="dxa"/>
            <w:noWrap w:val="0"/>
            <w:vAlign w:val="center"/>
          </w:tcPr>
          <w:p w14:paraId="28DDAAB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1088" w:type="dxa"/>
            <w:noWrap w:val="0"/>
            <w:vAlign w:val="center"/>
          </w:tcPr>
          <w:p w14:paraId="08847A7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25</w:t>
            </w:r>
          </w:p>
        </w:tc>
        <w:tc>
          <w:tcPr>
            <w:tcW w:w="930" w:type="dxa"/>
            <w:noWrap w:val="0"/>
            <w:vAlign w:val="center"/>
          </w:tcPr>
          <w:p w14:paraId="14A97FA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1166" w:type="dxa"/>
            <w:noWrap w:val="0"/>
            <w:vAlign w:val="center"/>
          </w:tcPr>
          <w:p w14:paraId="5835D81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90.00%</w:t>
            </w:r>
          </w:p>
        </w:tc>
      </w:tr>
      <w:tr w14:paraId="2E30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2600C74D">
            <w:pPr>
              <w:pStyle w:val="32"/>
              <w:jc w:val="center"/>
              <w:rPr>
                <w:rFonts w:hint="eastAsia" w:ascii="宋体" w:hAnsi="宋体" w:eastAsia="宋体" w:cs="宋体"/>
                <w:highlight w:val="none"/>
              </w:rPr>
            </w:pPr>
            <w:r>
              <w:rPr>
                <w:rFonts w:hint="eastAsia" w:ascii="宋体" w:hAnsi="宋体" w:eastAsia="宋体" w:cs="宋体"/>
                <w:highlight w:val="none"/>
              </w:rPr>
              <w:t>12</w:t>
            </w:r>
          </w:p>
        </w:tc>
        <w:tc>
          <w:tcPr>
            <w:tcW w:w="2763" w:type="dxa"/>
            <w:noWrap w:val="0"/>
            <w:vAlign w:val="center"/>
          </w:tcPr>
          <w:p w14:paraId="50790874">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人工智能</w:t>
            </w:r>
          </w:p>
        </w:tc>
        <w:tc>
          <w:tcPr>
            <w:tcW w:w="1170" w:type="dxa"/>
            <w:noWrap w:val="0"/>
            <w:vAlign w:val="center"/>
          </w:tcPr>
          <w:p w14:paraId="5DD73BE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48</w:t>
            </w:r>
          </w:p>
        </w:tc>
        <w:tc>
          <w:tcPr>
            <w:tcW w:w="1358" w:type="dxa"/>
            <w:noWrap w:val="0"/>
            <w:vAlign w:val="center"/>
          </w:tcPr>
          <w:p w14:paraId="0839151B">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1088" w:type="dxa"/>
            <w:noWrap w:val="0"/>
            <w:vAlign w:val="center"/>
          </w:tcPr>
          <w:p w14:paraId="5D13BC9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39</w:t>
            </w:r>
          </w:p>
        </w:tc>
        <w:tc>
          <w:tcPr>
            <w:tcW w:w="930" w:type="dxa"/>
            <w:noWrap w:val="0"/>
            <w:vAlign w:val="center"/>
          </w:tcPr>
          <w:p w14:paraId="78726FC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166" w:type="dxa"/>
            <w:noWrap w:val="0"/>
            <w:vAlign w:val="center"/>
          </w:tcPr>
          <w:p w14:paraId="009308C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89.58%</w:t>
            </w:r>
          </w:p>
        </w:tc>
      </w:tr>
      <w:tr w14:paraId="5F07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50797527">
            <w:pPr>
              <w:pStyle w:val="32"/>
              <w:jc w:val="center"/>
              <w:rPr>
                <w:rFonts w:hint="eastAsia" w:ascii="宋体" w:hAnsi="宋体" w:eastAsia="宋体" w:cs="宋体"/>
                <w:highlight w:val="none"/>
              </w:rPr>
            </w:pPr>
            <w:r>
              <w:rPr>
                <w:rFonts w:hint="eastAsia" w:ascii="宋体" w:hAnsi="宋体" w:eastAsia="宋体" w:cs="宋体"/>
                <w:highlight w:val="none"/>
              </w:rPr>
              <w:t>13</w:t>
            </w:r>
          </w:p>
        </w:tc>
        <w:tc>
          <w:tcPr>
            <w:tcW w:w="2763" w:type="dxa"/>
            <w:noWrap w:val="0"/>
            <w:vAlign w:val="center"/>
          </w:tcPr>
          <w:p w14:paraId="698FFFC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市场营销</w:t>
            </w:r>
          </w:p>
        </w:tc>
        <w:tc>
          <w:tcPr>
            <w:tcW w:w="1170" w:type="dxa"/>
            <w:noWrap w:val="0"/>
            <w:vAlign w:val="center"/>
          </w:tcPr>
          <w:p w14:paraId="088E93B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27</w:t>
            </w:r>
          </w:p>
        </w:tc>
        <w:tc>
          <w:tcPr>
            <w:tcW w:w="1358" w:type="dxa"/>
            <w:noWrap w:val="0"/>
            <w:vAlign w:val="center"/>
          </w:tcPr>
          <w:p w14:paraId="06FEC66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1088" w:type="dxa"/>
            <w:noWrap w:val="0"/>
            <w:vAlign w:val="center"/>
          </w:tcPr>
          <w:p w14:paraId="0166DDC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22</w:t>
            </w:r>
          </w:p>
        </w:tc>
        <w:tc>
          <w:tcPr>
            <w:tcW w:w="930" w:type="dxa"/>
            <w:noWrap w:val="0"/>
            <w:vAlign w:val="center"/>
          </w:tcPr>
          <w:p w14:paraId="60E27874">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w:t>
            </w:r>
          </w:p>
        </w:tc>
        <w:tc>
          <w:tcPr>
            <w:tcW w:w="1166" w:type="dxa"/>
            <w:noWrap w:val="0"/>
            <w:vAlign w:val="center"/>
          </w:tcPr>
          <w:p w14:paraId="7FE13C2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88.89%</w:t>
            </w:r>
          </w:p>
        </w:tc>
      </w:tr>
      <w:tr w14:paraId="7FF7E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312204D5">
            <w:pPr>
              <w:pStyle w:val="32"/>
              <w:jc w:val="center"/>
              <w:rPr>
                <w:rFonts w:hint="eastAsia" w:ascii="宋体" w:hAnsi="宋体" w:eastAsia="宋体" w:cs="宋体"/>
                <w:highlight w:val="none"/>
              </w:rPr>
            </w:pPr>
            <w:r>
              <w:rPr>
                <w:rFonts w:hint="eastAsia" w:ascii="宋体" w:hAnsi="宋体" w:eastAsia="宋体" w:cs="宋体"/>
                <w:highlight w:val="none"/>
              </w:rPr>
              <w:t>14</w:t>
            </w:r>
          </w:p>
        </w:tc>
        <w:tc>
          <w:tcPr>
            <w:tcW w:w="2763" w:type="dxa"/>
            <w:noWrap w:val="0"/>
            <w:vAlign w:val="center"/>
          </w:tcPr>
          <w:p w14:paraId="35B02A0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医学检验技术</w:t>
            </w:r>
          </w:p>
        </w:tc>
        <w:tc>
          <w:tcPr>
            <w:tcW w:w="1170" w:type="dxa"/>
            <w:noWrap w:val="0"/>
            <w:vAlign w:val="center"/>
          </w:tcPr>
          <w:p w14:paraId="088C67B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332</w:t>
            </w:r>
          </w:p>
        </w:tc>
        <w:tc>
          <w:tcPr>
            <w:tcW w:w="1358" w:type="dxa"/>
            <w:noWrap w:val="0"/>
            <w:vAlign w:val="center"/>
          </w:tcPr>
          <w:p w14:paraId="29C86B6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19</w:t>
            </w:r>
          </w:p>
        </w:tc>
        <w:tc>
          <w:tcPr>
            <w:tcW w:w="1088" w:type="dxa"/>
            <w:noWrap w:val="0"/>
            <w:vAlign w:val="center"/>
          </w:tcPr>
          <w:p w14:paraId="1DB162AB">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272</w:t>
            </w:r>
          </w:p>
        </w:tc>
        <w:tc>
          <w:tcPr>
            <w:tcW w:w="930" w:type="dxa"/>
            <w:noWrap w:val="0"/>
            <w:vAlign w:val="center"/>
          </w:tcPr>
          <w:p w14:paraId="4351CC7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41</w:t>
            </w:r>
          </w:p>
        </w:tc>
        <w:tc>
          <w:tcPr>
            <w:tcW w:w="1166" w:type="dxa"/>
            <w:noWrap w:val="0"/>
            <w:vAlign w:val="center"/>
          </w:tcPr>
          <w:p w14:paraId="4D6B69F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87.65%</w:t>
            </w:r>
          </w:p>
        </w:tc>
      </w:tr>
      <w:tr w14:paraId="142F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59ADB2D9">
            <w:pPr>
              <w:pStyle w:val="32"/>
              <w:jc w:val="center"/>
              <w:rPr>
                <w:rFonts w:hint="eastAsia" w:ascii="宋体" w:hAnsi="宋体" w:eastAsia="宋体" w:cs="宋体"/>
                <w:highlight w:val="none"/>
              </w:rPr>
            </w:pPr>
            <w:r>
              <w:rPr>
                <w:rFonts w:hint="eastAsia" w:ascii="宋体" w:hAnsi="宋体" w:eastAsia="宋体" w:cs="宋体"/>
                <w:highlight w:val="none"/>
              </w:rPr>
              <w:t>15</w:t>
            </w:r>
          </w:p>
        </w:tc>
        <w:tc>
          <w:tcPr>
            <w:tcW w:w="2763" w:type="dxa"/>
            <w:noWrap w:val="0"/>
            <w:vAlign w:val="center"/>
          </w:tcPr>
          <w:p w14:paraId="46DD61A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工程造价</w:t>
            </w:r>
          </w:p>
        </w:tc>
        <w:tc>
          <w:tcPr>
            <w:tcW w:w="1170" w:type="dxa"/>
            <w:noWrap w:val="0"/>
            <w:vAlign w:val="center"/>
          </w:tcPr>
          <w:p w14:paraId="1F02676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56</w:t>
            </w:r>
          </w:p>
        </w:tc>
        <w:tc>
          <w:tcPr>
            <w:tcW w:w="1358" w:type="dxa"/>
            <w:noWrap w:val="0"/>
            <w:vAlign w:val="center"/>
          </w:tcPr>
          <w:p w14:paraId="25312F4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088" w:type="dxa"/>
            <w:noWrap w:val="0"/>
            <w:vAlign w:val="center"/>
          </w:tcPr>
          <w:p w14:paraId="08CE602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44</w:t>
            </w:r>
          </w:p>
        </w:tc>
        <w:tc>
          <w:tcPr>
            <w:tcW w:w="930" w:type="dxa"/>
            <w:noWrap w:val="0"/>
            <w:vAlign w:val="center"/>
          </w:tcPr>
          <w:p w14:paraId="3E12299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1166" w:type="dxa"/>
            <w:noWrap w:val="0"/>
            <w:vAlign w:val="center"/>
          </w:tcPr>
          <w:p w14:paraId="075E47D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87.50%</w:t>
            </w:r>
          </w:p>
        </w:tc>
      </w:tr>
      <w:tr w14:paraId="5EA7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3D47635B">
            <w:pPr>
              <w:pStyle w:val="32"/>
              <w:jc w:val="center"/>
              <w:rPr>
                <w:rFonts w:hint="eastAsia" w:ascii="宋体" w:hAnsi="宋体" w:eastAsia="宋体" w:cs="宋体"/>
                <w:highlight w:val="none"/>
              </w:rPr>
            </w:pPr>
            <w:r>
              <w:rPr>
                <w:rFonts w:hint="eastAsia" w:ascii="宋体" w:hAnsi="宋体" w:eastAsia="宋体" w:cs="宋体"/>
                <w:highlight w:val="none"/>
              </w:rPr>
              <w:t>16</w:t>
            </w:r>
          </w:p>
        </w:tc>
        <w:tc>
          <w:tcPr>
            <w:tcW w:w="2763" w:type="dxa"/>
            <w:noWrap w:val="0"/>
            <w:vAlign w:val="center"/>
          </w:tcPr>
          <w:p w14:paraId="6A4E5BC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护理学</w:t>
            </w:r>
          </w:p>
        </w:tc>
        <w:tc>
          <w:tcPr>
            <w:tcW w:w="1170" w:type="dxa"/>
            <w:noWrap w:val="0"/>
            <w:vAlign w:val="center"/>
          </w:tcPr>
          <w:p w14:paraId="5866BCD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347</w:t>
            </w:r>
          </w:p>
        </w:tc>
        <w:tc>
          <w:tcPr>
            <w:tcW w:w="1358" w:type="dxa"/>
            <w:noWrap w:val="0"/>
            <w:vAlign w:val="center"/>
          </w:tcPr>
          <w:p w14:paraId="30ECD9D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6</w:t>
            </w:r>
          </w:p>
        </w:tc>
        <w:tc>
          <w:tcPr>
            <w:tcW w:w="1088" w:type="dxa"/>
            <w:noWrap w:val="0"/>
            <w:vAlign w:val="center"/>
          </w:tcPr>
          <w:p w14:paraId="322AFC6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297</w:t>
            </w:r>
          </w:p>
        </w:tc>
        <w:tc>
          <w:tcPr>
            <w:tcW w:w="930" w:type="dxa"/>
            <w:noWrap w:val="0"/>
            <w:vAlign w:val="center"/>
          </w:tcPr>
          <w:p w14:paraId="48CF31B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44</w:t>
            </w:r>
          </w:p>
        </w:tc>
        <w:tc>
          <w:tcPr>
            <w:tcW w:w="1166" w:type="dxa"/>
            <w:noWrap w:val="0"/>
            <w:vAlign w:val="center"/>
          </w:tcPr>
          <w:p w14:paraId="0631D48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87.32%</w:t>
            </w:r>
          </w:p>
        </w:tc>
      </w:tr>
      <w:tr w14:paraId="2735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0B4B46C4">
            <w:pPr>
              <w:pStyle w:val="32"/>
              <w:jc w:val="center"/>
              <w:rPr>
                <w:rFonts w:hint="eastAsia" w:ascii="宋体" w:hAnsi="宋体" w:eastAsia="宋体" w:cs="宋体"/>
                <w:highlight w:val="none"/>
              </w:rPr>
            </w:pPr>
            <w:r>
              <w:rPr>
                <w:rFonts w:hint="eastAsia" w:ascii="宋体" w:hAnsi="宋体" w:eastAsia="宋体" w:cs="宋体"/>
                <w:highlight w:val="none"/>
              </w:rPr>
              <w:t>17</w:t>
            </w:r>
          </w:p>
        </w:tc>
        <w:tc>
          <w:tcPr>
            <w:tcW w:w="2763" w:type="dxa"/>
            <w:noWrap w:val="0"/>
            <w:vAlign w:val="center"/>
          </w:tcPr>
          <w:p w14:paraId="52AE1F2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康复治疗学</w:t>
            </w:r>
          </w:p>
        </w:tc>
        <w:tc>
          <w:tcPr>
            <w:tcW w:w="1170" w:type="dxa"/>
            <w:noWrap w:val="0"/>
            <w:vAlign w:val="center"/>
          </w:tcPr>
          <w:p w14:paraId="434984E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102</w:t>
            </w:r>
          </w:p>
        </w:tc>
        <w:tc>
          <w:tcPr>
            <w:tcW w:w="1358" w:type="dxa"/>
            <w:noWrap w:val="0"/>
            <w:vAlign w:val="center"/>
          </w:tcPr>
          <w:p w14:paraId="3F5B5D5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w:t>
            </w:r>
          </w:p>
        </w:tc>
        <w:tc>
          <w:tcPr>
            <w:tcW w:w="1088" w:type="dxa"/>
            <w:noWrap w:val="0"/>
            <w:vAlign w:val="center"/>
          </w:tcPr>
          <w:p w14:paraId="2757B78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80</w:t>
            </w:r>
          </w:p>
        </w:tc>
        <w:tc>
          <w:tcPr>
            <w:tcW w:w="930" w:type="dxa"/>
            <w:noWrap w:val="0"/>
            <w:vAlign w:val="center"/>
          </w:tcPr>
          <w:p w14:paraId="5F1B99E0">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13</w:t>
            </w:r>
          </w:p>
        </w:tc>
        <w:tc>
          <w:tcPr>
            <w:tcW w:w="1166" w:type="dxa"/>
            <w:noWrap w:val="0"/>
            <w:vAlign w:val="center"/>
          </w:tcPr>
          <w:p w14:paraId="7A62C56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87.25%</w:t>
            </w:r>
          </w:p>
        </w:tc>
      </w:tr>
      <w:tr w14:paraId="08145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1634BE99">
            <w:pPr>
              <w:pStyle w:val="32"/>
              <w:jc w:val="center"/>
              <w:rPr>
                <w:rFonts w:hint="eastAsia" w:ascii="宋体" w:hAnsi="宋体" w:eastAsia="宋体" w:cs="宋体"/>
                <w:highlight w:val="none"/>
              </w:rPr>
            </w:pPr>
            <w:r>
              <w:rPr>
                <w:rFonts w:hint="eastAsia" w:ascii="宋体" w:hAnsi="宋体" w:eastAsia="宋体" w:cs="宋体"/>
                <w:highlight w:val="none"/>
              </w:rPr>
              <w:t>18</w:t>
            </w:r>
          </w:p>
        </w:tc>
        <w:tc>
          <w:tcPr>
            <w:tcW w:w="2763" w:type="dxa"/>
            <w:noWrap w:val="0"/>
            <w:vAlign w:val="center"/>
          </w:tcPr>
          <w:p w14:paraId="5EDBBD4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学前教育</w:t>
            </w:r>
          </w:p>
        </w:tc>
        <w:tc>
          <w:tcPr>
            <w:tcW w:w="1170" w:type="dxa"/>
            <w:noWrap w:val="0"/>
            <w:vAlign w:val="center"/>
          </w:tcPr>
          <w:p w14:paraId="061FE6E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270</w:t>
            </w:r>
          </w:p>
        </w:tc>
        <w:tc>
          <w:tcPr>
            <w:tcW w:w="1358" w:type="dxa"/>
            <w:noWrap w:val="0"/>
            <w:vAlign w:val="center"/>
          </w:tcPr>
          <w:p w14:paraId="1011E88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14</w:t>
            </w:r>
          </w:p>
        </w:tc>
        <w:tc>
          <w:tcPr>
            <w:tcW w:w="1088" w:type="dxa"/>
            <w:noWrap w:val="0"/>
            <w:vAlign w:val="center"/>
          </w:tcPr>
          <w:p w14:paraId="21A3084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218</w:t>
            </w:r>
          </w:p>
        </w:tc>
        <w:tc>
          <w:tcPr>
            <w:tcW w:w="930" w:type="dxa"/>
            <w:noWrap w:val="0"/>
            <w:vAlign w:val="center"/>
          </w:tcPr>
          <w:p w14:paraId="7F91ABE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38</w:t>
            </w:r>
          </w:p>
        </w:tc>
        <w:tc>
          <w:tcPr>
            <w:tcW w:w="1166" w:type="dxa"/>
            <w:noWrap w:val="0"/>
            <w:vAlign w:val="center"/>
          </w:tcPr>
          <w:p w14:paraId="78A418B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85.93%</w:t>
            </w:r>
          </w:p>
        </w:tc>
      </w:tr>
      <w:tr w14:paraId="2932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57E36947">
            <w:pPr>
              <w:pStyle w:val="32"/>
              <w:jc w:val="center"/>
              <w:rPr>
                <w:rFonts w:hint="eastAsia" w:ascii="宋体" w:hAnsi="宋体" w:eastAsia="宋体" w:cs="宋体"/>
                <w:highlight w:val="none"/>
              </w:rPr>
            </w:pPr>
            <w:r>
              <w:rPr>
                <w:rFonts w:hint="eastAsia" w:ascii="宋体" w:hAnsi="宋体" w:eastAsia="宋体" w:cs="宋体"/>
                <w:highlight w:val="none"/>
              </w:rPr>
              <w:t>19</w:t>
            </w:r>
          </w:p>
        </w:tc>
        <w:tc>
          <w:tcPr>
            <w:tcW w:w="2763" w:type="dxa"/>
            <w:noWrap w:val="0"/>
            <w:vAlign w:val="center"/>
          </w:tcPr>
          <w:p w14:paraId="194C67D4">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财务管理</w:t>
            </w:r>
          </w:p>
        </w:tc>
        <w:tc>
          <w:tcPr>
            <w:tcW w:w="1170" w:type="dxa"/>
            <w:noWrap w:val="0"/>
            <w:vAlign w:val="center"/>
          </w:tcPr>
          <w:p w14:paraId="6EBE054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119</w:t>
            </w:r>
          </w:p>
        </w:tc>
        <w:tc>
          <w:tcPr>
            <w:tcW w:w="1358" w:type="dxa"/>
            <w:noWrap w:val="0"/>
            <w:vAlign w:val="center"/>
          </w:tcPr>
          <w:p w14:paraId="0025297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088" w:type="dxa"/>
            <w:noWrap w:val="0"/>
            <w:vAlign w:val="center"/>
          </w:tcPr>
          <w:p w14:paraId="3E9195A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97</w:t>
            </w:r>
          </w:p>
        </w:tc>
        <w:tc>
          <w:tcPr>
            <w:tcW w:w="930" w:type="dxa"/>
            <w:noWrap w:val="0"/>
            <w:vAlign w:val="center"/>
          </w:tcPr>
          <w:p w14:paraId="245C1705">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17</w:t>
            </w:r>
          </w:p>
        </w:tc>
        <w:tc>
          <w:tcPr>
            <w:tcW w:w="1166" w:type="dxa"/>
            <w:noWrap w:val="0"/>
            <w:vAlign w:val="center"/>
          </w:tcPr>
          <w:p w14:paraId="4A3DA13B">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85.71%</w:t>
            </w:r>
          </w:p>
        </w:tc>
      </w:tr>
      <w:tr w14:paraId="4AFC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282DBC12">
            <w:pPr>
              <w:pStyle w:val="32"/>
              <w:jc w:val="center"/>
              <w:rPr>
                <w:rFonts w:hint="eastAsia" w:ascii="宋体" w:hAnsi="宋体" w:eastAsia="宋体" w:cs="宋体"/>
                <w:highlight w:val="none"/>
              </w:rPr>
            </w:pPr>
            <w:r>
              <w:rPr>
                <w:rFonts w:hint="eastAsia" w:ascii="宋体" w:hAnsi="宋体" w:eastAsia="宋体" w:cs="宋体"/>
                <w:highlight w:val="none"/>
              </w:rPr>
              <w:t>20</w:t>
            </w:r>
          </w:p>
        </w:tc>
        <w:tc>
          <w:tcPr>
            <w:tcW w:w="2763" w:type="dxa"/>
            <w:noWrap w:val="0"/>
            <w:vAlign w:val="center"/>
          </w:tcPr>
          <w:p w14:paraId="2E57A6B0">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物流管理</w:t>
            </w:r>
          </w:p>
        </w:tc>
        <w:tc>
          <w:tcPr>
            <w:tcW w:w="1170" w:type="dxa"/>
            <w:noWrap w:val="0"/>
            <w:vAlign w:val="center"/>
          </w:tcPr>
          <w:p w14:paraId="66DFC85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34</w:t>
            </w:r>
          </w:p>
        </w:tc>
        <w:tc>
          <w:tcPr>
            <w:tcW w:w="1358" w:type="dxa"/>
            <w:noWrap w:val="0"/>
            <w:vAlign w:val="center"/>
          </w:tcPr>
          <w:p w14:paraId="59721B9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w:t>
            </w:r>
          </w:p>
        </w:tc>
        <w:tc>
          <w:tcPr>
            <w:tcW w:w="1088" w:type="dxa"/>
            <w:noWrap w:val="0"/>
            <w:vAlign w:val="center"/>
          </w:tcPr>
          <w:p w14:paraId="60DEE28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28</w:t>
            </w:r>
          </w:p>
        </w:tc>
        <w:tc>
          <w:tcPr>
            <w:tcW w:w="930" w:type="dxa"/>
            <w:noWrap w:val="0"/>
            <w:vAlign w:val="center"/>
          </w:tcPr>
          <w:p w14:paraId="0804DCA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166" w:type="dxa"/>
            <w:noWrap w:val="0"/>
            <w:vAlign w:val="center"/>
          </w:tcPr>
          <w:p w14:paraId="0692B8D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85.29%</w:t>
            </w:r>
          </w:p>
        </w:tc>
      </w:tr>
      <w:tr w14:paraId="1C83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60AADEFF">
            <w:pPr>
              <w:pStyle w:val="32"/>
              <w:jc w:val="center"/>
              <w:rPr>
                <w:rFonts w:hint="eastAsia" w:ascii="宋体" w:hAnsi="宋体" w:eastAsia="宋体" w:cs="宋体"/>
                <w:highlight w:val="none"/>
              </w:rPr>
            </w:pPr>
            <w:r>
              <w:rPr>
                <w:rFonts w:hint="eastAsia" w:ascii="宋体" w:hAnsi="宋体" w:eastAsia="宋体" w:cs="宋体"/>
                <w:highlight w:val="none"/>
              </w:rPr>
              <w:t>21</w:t>
            </w:r>
          </w:p>
        </w:tc>
        <w:tc>
          <w:tcPr>
            <w:tcW w:w="2763" w:type="dxa"/>
            <w:noWrap w:val="0"/>
            <w:vAlign w:val="center"/>
          </w:tcPr>
          <w:p w14:paraId="506615B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汉语国际教育</w:t>
            </w:r>
          </w:p>
        </w:tc>
        <w:tc>
          <w:tcPr>
            <w:tcW w:w="1170" w:type="dxa"/>
            <w:noWrap w:val="0"/>
            <w:vAlign w:val="center"/>
          </w:tcPr>
          <w:p w14:paraId="1DE6103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49</w:t>
            </w:r>
          </w:p>
        </w:tc>
        <w:tc>
          <w:tcPr>
            <w:tcW w:w="1358" w:type="dxa"/>
            <w:noWrap w:val="0"/>
            <w:vAlign w:val="center"/>
          </w:tcPr>
          <w:p w14:paraId="6F0159F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088" w:type="dxa"/>
            <w:noWrap w:val="0"/>
            <w:vAlign w:val="center"/>
          </w:tcPr>
          <w:p w14:paraId="2C29C9FB">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36</w:t>
            </w:r>
          </w:p>
        </w:tc>
        <w:tc>
          <w:tcPr>
            <w:tcW w:w="930" w:type="dxa"/>
            <w:noWrap w:val="0"/>
            <w:vAlign w:val="center"/>
          </w:tcPr>
          <w:p w14:paraId="453AC15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w:t>
            </w:r>
          </w:p>
        </w:tc>
        <w:tc>
          <w:tcPr>
            <w:tcW w:w="1166" w:type="dxa"/>
            <w:noWrap w:val="0"/>
            <w:vAlign w:val="center"/>
          </w:tcPr>
          <w:p w14:paraId="6F1D445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83.67%</w:t>
            </w:r>
          </w:p>
        </w:tc>
      </w:tr>
      <w:tr w14:paraId="134F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3F067B40">
            <w:pPr>
              <w:pStyle w:val="32"/>
              <w:jc w:val="center"/>
              <w:rPr>
                <w:rFonts w:hint="eastAsia" w:ascii="宋体" w:hAnsi="宋体" w:eastAsia="宋体" w:cs="宋体"/>
                <w:highlight w:val="none"/>
              </w:rPr>
            </w:pPr>
            <w:r>
              <w:rPr>
                <w:rFonts w:hint="eastAsia" w:ascii="宋体" w:hAnsi="宋体" w:eastAsia="宋体" w:cs="宋体"/>
                <w:highlight w:val="none"/>
              </w:rPr>
              <w:t>22</w:t>
            </w:r>
          </w:p>
        </w:tc>
        <w:tc>
          <w:tcPr>
            <w:tcW w:w="2763" w:type="dxa"/>
            <w:noWrap w:val="0"/>
            <w:vAlign w:val="center"/>
          </w:tcPr>
          <w:p w14:paraId="2F8E5D6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交通运输</w:t>
            </w:r>
          </w:p>
        </w:tc>
        <w:tc>
          <w:tcPr>
            <w:tcW w:w="1170" w:type="dxa"/>
            <w:noWrap w:val="0"/>
            <w:vAlign w:val="center"/>
          </w:tcPr>
          <w:p w14:paraId="2619E84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49</w:t>
            </w:r>
          </w:p>
        </w:tc>
        <w:tc>
          <w:tcPr>
            <w:tcW w:w="1358" w:type="dxa"/>
            <w:noWrap w:val="0"/>
            <w:vAlign w:val="center"/>
          </w:tcPr>
          <w:p w14:paraId="5F86BAC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1088" w:type="dxa"/>
            <w:noWrap w:val="0"/>
            <w:vAlign w:val="center"/>
          </w:tcPr>
          <w:p w14:paraId="749D7B4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33</w:t>
            </w:r>
          </w:p>
        </w:tc>
        <w:tc>
          <w:tcPr>
            <w:tcW w:w="930" w:type="dxa"/>
            <w:noWrap w:val="0"/>
            <w:vAlign w:val="center"/>
          </w:tcPr>
          <w:p w14:paraId="5EF0D650">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w:t>
            </w:r>
          </w:p>
        </w:tc>
        <w:tc>
          <w:tcPr>
            <w:tcW w:w="1166" w:type="dxa"/>
            <w:noWrap w:val="0"/>
            <w:vAlign w:val="center"/>
          </w:tcPr>
          <w:p w14:paraId="63AE2EC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81.63%</w:t>
            </w:r>
          </w:p>
        </w:tc>
      </w:tr>
      <w:tr w14:paraId="181D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7AA19EBC">
            <w:pPr>
              <w:pStyle w:val="32"/>
              <w:jc w:val="center"/>
              <w:rPr>
                <w:rFonts w:hint="eastAsia" w:ascii="宋体" w:hAnsi="宋体" w:eastAsia="宋体" w:cs="宋体"/>
                <w:highlight w:val="none"/>
              </w:rPr>
            </w:pPr>
            <w:r>
              <w:rPr>
                <w:rFonts w:hint="eastAsia" w:ascii="宋体" w:hAnsi="宋体" w:eastAsia="宋体" w:cs="宋体"/>
                <w:highlight w:val="none"/>
              </w:rPr>
              <w:t>23</w:t>
            </w:r>
          </w:p>
        </w:tc>
        <w:tc>
          <w:tcPr>
            <w:tcW w:w="2763" w:type="dxa"/>
            <w:noWrap w:val="0"/>
            <w:vAlign w:val="center"/>
          </w:tcPr>
          <w:p w14:paraId="255263C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汽车服务工程</w:t>
            </w:r>
          </w:p>
        </w:tc>
        <w:tc>
          <w:tcPr>
            <w:tcW w:w="1170" w:type="dxa"/>
            <w:noWrap w:val="0"/>
            <w:vAlign w:val="center"/>
          </w:tcPr>
          <w:p w14:paraId="7018CBFC">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68</w:t>
            </w:r>
          </w:p>
        </w:tc>
        <w:tc>
          <w:tcPr>
            <w:tcW w:w="1358" w:type="dxa"/>
            <w:noWrap w:val="0"/>
            <w:vAlign w:val="center"/>
          </w:tcPr>
          <w:p w14:paraId="41307C08">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1088" w:type="dxa"/>
            <w:noWrap w:val="0"/>
            <w:vAlign w:val="center"/>
          </w:tcPr>
          <w:p w14:paraId="3744540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47</w:t>
            </w:r>
          </w:p>
        </w:tc>
        <w:tc>
          <w:tcPr>
            <w:tcW w:w="930" w:type="dxa"/>
            <w:noWrap w:val="0"/>
            <w:vAlign w:val="center"/>
          </w:tcPr>
          <w:p w14:paraId="68CA8B79">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16</w:t>
            </w:r>
          </w:p>
        </w:tc>
        <w:tc>
          <w:tcPr>
            <w:tcW w:w="1166" w:type="dxa"/>
            <w:noWrap w:val="0"/>
            <w:vAlign w:val="center"/>
          </w:tcPr>
          <w:p w14:paraId="5051257F">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76.47%</w:t>
            </w:r>
          </w:p>
        </w:tc>
      </w:tr>
      <w:tr w14:paraId="5522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6B3EF2AC">
            <w:pPr>
              <w:pStyle w:val="32"/>
              <w:jc w:val="center"/>
              <w:rPr>
                <w:rFonts w:hint="eastAsia" w:ascii="宋体" w:hAnsi="宋体" w:eastAsia="宋体" w:cs="宋体"/>
                <w:highlight w:val="none"/>
              </w:rPr>
            </w:pPr>
            <w:r>
              <w:rPr>
                <w:rFonts w:hint="eastAsia" w:ascii="宋体" w:hAnsi="宋体" w:eastAsia="宋体" w:cs="宋体"/>
                <w:highlight w:val="none"/>
              </w:rPr>
              <w:t>24</w:t>
            </w:r>
          </w:p>
        </w:tc>
        <w:tc>
          <w:tcPr>
            <w:tcW w:w="2763" w:type="dxa"/>
            <w:noWrap w:val="0"/>
            <w:vAlign w:val="center"/>
          </w:tcPr>
          <w:p w14:paraId="7CCE4B5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舞蹈表演</w:t>
            </w:r>
          </w:p>
        </w:tc>
        <w:tc>
          <w:tcPr>
            <w:tcW w:w="1170" w:type="dxa"/>
            <w:noWrap w:val="0"/>
            <w:vAlign w:val="center"/>
          </w:tcPr>
          <w:p w14:paraId="4F353677">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46</w:t>
            </w:r>
          </w:p>
        </w:tc>
        <w:tc>
          <w:tcPr>
            <w:tcW w:w="1358" w:type="dxa"/>
            <w:noWrap w:val="0"/>
            <w:vAlign w:val="center"/>
          </w:tcPr>
          <w:p w14:paraId="01039AB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w:t>
            </w:r>
          </w:p>
        </w:tc>
        <w:tc>
          <w:tcPr>
            <w:tcW w:w="1088" w:type="dxa"/>
            <w:noWrap w:val="0"/>
            <w:vAlign w:val="center"/>
          </w:tcPr>
          <w:p w14:paraId="5918C97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33</w:t>
            </w:r>
          </w:p>
        </w:tc>
        <w:tc>
          <w:tcPr>
            <w:tcW w:w="930" w:type="dxa"/>
            <w:noWrap w:val="0"/>
            <w:vAlign w:val="center"/>
          </w:tcPr>
          <w:p w14:paraId="07A2AF73">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11</w:t>
            </w:r>
          </w:p>
        </w:tc>
        <w:tc>
          <w:tcPr>
            <w:tcW w:w="1166" w:type="dxa"/>
            <w:noWrap w:val="0"/>
            <w:vAlign w:val="center"/>
          </w:tcPr>
          <w:p w14:paraId="23DB786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76.09%</w:t>
            </w:r>
          </w:p>
        </w:tc>
      </w:tr>
      <w:tr w14:paraId="1010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7AF7F52C">
            <w:pPr>
              <w:pStyle w:val="32"/>
              <w:jc w:val="center"/>
              <w:rPr>
                <w:rFonts w:hint="default" w:ascii="宋体" w:hAnsi="宋体" w:eastAsia="宋体" w:cs="宋体"/>
                <w:highlight w:val="none"/>
                <w:lang w:val="en-US" w:eastAsia="zh-CN"/>
              </w:rPr>
            </w:pPr>
            <w:r>
              <w:rPr>
                <w:rFonts w:hint="eastAsia" w:cs="宋体"/>
                <w:highlight w:val="none"/>
                <w:lang w:val="en-US" w:eastAsia="zh-CN"/>
              </w:rPr>
              <w:t>25</w:t>
            </w:r>
          </w:p>
        </w:tc>
        <w:tc>
          <w:tcPr>
            <w:tcW w:w="2763" w:type="dxa"/>
            <w:noWrap w:val="0"/>
            <w:vAlign w:val="center"/>
          </w:tcPr>
          <w:p w14:paraId="2A203D81">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土木工程</w:t>
            </w:r>
          </w:p>
        </w:tc>
        <w:tc>
          <w:tcPr>
            <w:tcW w:w="1170" w:type="dxa"/>
            <w:noWrap w:val="0"/>
            <w:vAlign w:val="center"/>
          </w:tcPr>
          <w:p w14:paraId="2743917A">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47</w:t>
            </w:r>
          </w:p>
        </w:tc>
        <w:tc>
          <w:tcPr>
            <w:tcW w:w="1358" w:type="dxa"/>
            <w:noWrap w:val="0"/>
            <w:vAlign w:val="center"/>
          </w:tcPr>
          <w:p w14:paraId="5F328BAE">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w:t>
            </w:r>
          </w:p>
        </w:tc>
        <w:tc>
          <w:tcPr>
            <w:tcW w:w="1088" w:type="dxa"/>
            <w:noWrap w:val="0"/>
            <w:vAlign w:val="center"/>
          </w:tcPr>
          <w:p w14:paraId="43977ECD">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25</w:t>
            </w:r>
          </w:p>
        </w:tc>
        <w:tc>
          <w:tcPr>
            <w:tcW w:w="930" w:type="dxa"/>
            <w:noWrap w:val="0"/>
            <w:vAlign w:val="center"/>
          </w:tcPr>
          <w:p w14:paraId="17D84E42">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13</w:t>
            </w:r>
          </w:p>
        </w:tc>
        <w:tc>
          <w:tcPr>
            <w:tcW w:w="1166" w:type="dxa"/>
            <w:noWrap w:val="0"/>
            <w:vAlign w:val="center"/>
          </w:tcPr>
          <w:p w14:paraId="661EA086">
            <w:pPr>
              <w:keepNext w:val="0"/>
              <w:keepLines w:val="0"/>
              <w:widowControl/>
              <w:suppressLineNumbers w:val="0"/>
              <w:jc w:val="center"/>
              <w:textAlignment w:val="center"/>
              <w:rPr>
                <w:rFonts w:hint="eastAsia" w:ascii="宋体" w:hAnsi="宋体" w:eastAsia="宋体" w:cs="宋体"/>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72.34%</w:t>
            </w:r>
          </w:p>
        </w:tc>
      </w:tr>
      <w:tr w14:paraId="03FE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323" w:type="pct"/>
            <w:noWrap w:val="0"/>
            <w:vAlign w:val="center"/>
          </w:tcPr>
          <w:p w14:paraId="6B6B75B5">
            <w:pPr>
              <w:pStyle w:val="32"/>
              <w:jc w:val="center"/>
              <w:rPr>
                <w:rFonts w:hint="eastAsia" w:cs="宋体"/>
                <w:highlight w:val="none"/>
                <w:lang w:val="en-US" w:eastAsia="zh-CN"/>
              </w:rPr>
            </w:pPr>
          </w:p>
        </w:tc>
        <w:tc>
          <w:tcPr>
            <w:tcW w:w="2763" w:type="dxa"/>
            <w:noWrap w:val="0"/>
            <w:vAlign w:val="center"/>
          </w:tcPr>
          <w:p w14:paraId="78ED183A">
            <w:pPr>
              <w:keepNext w:val="0"/>
              <w:keepLines w:val="0"/>
              <w:widowControl/>
              <w:suppressLineNumbers w:val="0"/>
              <w:jc w:val="center"/>
              <w:textAlignment w:val="center"/>
              <w:rPr>
                <w:rFonts w:hint="eastAsia" w:ascii="等线" w:hAnsi="等线" w:eastAsia="等线" w:cs="等线"/>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总计</w:t>
            </w:r>
          </w:p>
        </w:tc>
        <w:tc>
          <w:tcPr>
            <w:tcW w:w="1170" w:type="dxa"/>
            <w:noWrap w:val="0"/>
            <w:vAlign w:val="center"/>
          </w:tcPr>
          <w:p w14:paraId="31693760">
            <w:pPr>
              <w:keepNext w:val="0"/>
              <w:keepLines w:val="0"/>
              <w:widowControl/>
              <w:suppressLineNumbers w:val="0"/>
              <w:jc w:val="center"/>
              <w:textAlignment w:val="center"/>
              <w:rPr>
                <w:rFonts w:hint="eastAsia" w:ascii="等线" w:hAnsi="等线" w:eastAsia="等线" w:cs="等线"/>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2455</w:t>
            </w:r>
          </w:p>
        </w:tc>
        <w:tc>
          <w:tcPr>
            <w:tcW w:w="1358" w:type="dxa"/>
            <w:noWrap w:val="0"/>
            <w:vAlign w:val="center"/>
          </w:tcPr>
          <w:p w14:paraId="7A9067E1">
            <w:pPr>
              <w:keepNext w:val="0"/>
              <w:keepLines w:val="0"/>
              <w:widowControl/>
              <w:suppressLineNumbers w:val="0"/>
              <w:jc w:val="center"/>
              <w:textAlignment w:val="center"/>
              <w:rPr>
                <w:rFonts w:hint="eastAsia" w:ascii="等线" w:hAnsi="等线" w:eastAsia="等线" w:cs="等线"/>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162</w:t>
            </w:r>
          </w:p>
        </w:tc>
        <w:tc>
          <w:tcPr>
            <w:tcW w:w="1088" w:type="dxa"/>
            <w:noWrap w:val="0"/>
            <w:vAlign w:val="center"/>
          </w:tcPr>
          <w:p w14:paraId="65FD122F">
            <w:pPr>
              <w:keepNext w:val="0"/>
              <w:keepLines w:val="0"/>
              <w:widowControl/>
              <w:suppressLineNumbers w:val="0"/>
              <w:jc w:val="center"/>
              <w:textAlignment w:val="center"/>
              <w:rPr>
                <w:rFonts w:hint="eastAsia" w:ascii="等线" w:hAnsi="等线" w:eastAsia="等线" w:cs="等线"/>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1998</w:t>
            </w:r>
          </w:p>
        </w:tc>
        <w:tc>
          <w:tcPr>
            <w:tcW w:w="930" w:type="dxa"/>
            <w:noWrap w:val="0"/>
            <w:vAlign w:val="center"/>
          </w:tcPr>
          <w:p w14:paraId="42F16A1C">
            <w:pPr>
              <w:keepNext w:val="0"/>
              <w:keepLines w:val="0"/>
              <w:widowControl/>
              <w:suppressLineNumbers w:val="0"/>
              <w:jc w:val="center"/>
              <w:textAlignment w:val="center"/>
              <w:rPr>
                <w:rFonts w:hint="eastAsia" w:ascii="等线" w:hAnsi="等线" w:eastAsia="等线" w:cs="等线"/>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295</w:t>
            </w:r>
          </w:p>
        </w:tc>
        <w:tc>
          <w:tcPr>
            <w:tcW w:w="1166" w:type="dxa"/>
            <w:noWrap w:val="0"/>
            <w:vAlign w:val="center"/>
          </w:tcPr>
          <w:p w14:paraId="0A0F5102">
            <w:pPr>
              <w:keepNext w:val="0"/>
              <w:keepLines w:val="0"/>
              <w:widowControl/>
              <w:suppressLineNumbers w:val="0"/>
              <w:jc w:val="center"/>
              <w:textAlignment w:val="center"/>
              <w:rPr>
                <w:rFonts w:hint="eastAsia" w:ascii="等线" w:hAnsi="等线" w:eastAsia="等线" w:cs="等线"/>
                <w:i w:val="0"/>
                <w:iCs w:val="0"/>
                <w:snapToGrid w:val="0"/>
                <w:color w:val="000000"/>
                <w:kern w:val="0"/>
                <w:sz w:val="22"/>
                <w:szCs w:val="22"/>
                <w:highlight w:val="none"/>
                <w:u w:val="none"/>
                <w:lang w:val="en-US" w:eastAsia="zh-CN" w:bidi="ar"/>
              </w:rPr>
            </w:pPr>
            <w:r>
              <w:rPr>
                <w:rFonts w:hint="eastAsia" w:ascii="宋体" w:hAnsi="宋体" w:eastAsia="宋体" w:cs="宋体"/>
                <w:i w:val="0"/>
                <w:iCs w:val="0"/>
                <w:snapToGrid w:val="0"/>
                <w:color w:val="000000"/>
                <w:kern w:val="0"/>
                <w:sz w:val="22"/>
                <w:szCs w:val="22"/>
                <w:highlight w:val="none"/>
                <w:u w:val="none"/>
                <w:lang w:val="en-US" w:eastAsia="zh-CN" w:bidi="ar"/>
              </w:rPr>
              <w:t>87.98%</w:t>
            </w:r>
          </w:p>
        </w:tc>
      </w:tr>
    </w:tbl>
    <w:p w14:paraId="2BE3A1ED">
      <w:pPr>
        <w:pStyle w:val="18"/>
        <w:widowControl w:val="0"/>
        <w:kinsoku/>
        <w:autoSpaceDE/>
        <w:autoSpaceDN/>
        <w:adjustRightInd/>
        <w:snapToGrid/>
        <w:spacing w:line="400" w:lineRule="exact"/>
        <w:ind w:firstLine="500" w:firstLineChars="200"/>
        <w:jc w:val="both"/>
        <w:textAlignment w:val="auto"/>
        <w:rPr>
          <w:rFonts w:hint="eastAsia" w:ascii="宋体" w:hAnsi="宋体" w:eastAsia="宋体" w:cs="宋体"/>
          <w:spacing w:val="5"/>
          <w:kern w:val="2"/>
          <w:sz w:val="24"/>
          <w:szCs w:val="24"/>
          <w:highlight w:val="none"/>
          <w:lang w:eastAsia="zh-CN"/>
        </w:rPr>
      </w:pPr>
      <w:r>
        <w:rPr>
          <w:rFonts w:hint="eastAsia" w:ascii="宋体" w:hAnsi="宋体" w:eastAsia="宋体" w:cs="宋体"/>
          <w:spacing w:val="5"/>
          <w:kern w:val="2"/>
          <w:sz w:val="24"/>
          <w:szCs w:val="24"/>
          <w:highlight w:val="none"/>
          <w:lang w:eastAsia="zh-CN"/>
        </w:rPr>
        <w:t>2025届本科毕业生的就业满意度为98.79%，专业对口度为84.31%，人岗匹配度为97.42%，职业吻合度为88.45%，工作稳定度为73.97%，单位满意度为99.10%。</w:t>
      </w:r>
    </w:p>
    <w:p w14:paraId="39CA6E37">
      <w:pPr>
        <w:pStyle w:val="18"/>
        <w:ind w:firstLine="210"/>
        <w:rPr>
          <w:rFonts w:hint="eastAsia"/>
          <w:highlight w:val="none"/>
        </w:rPr>
      </w:pPr>
      <w:r>
        <w:rPr>
          <w:rFonts w:ascii="宋体" w:hAnsi="宋体" w:eastAsia="仿宋_GB2312" w:cs="Times New Roman"/>
          <w:b/>
          <w:sz w:val="24"/>
          <w:szCs w:val="24"/>
          <w:highlight w:val="none"/>
        </w:rPr>
        <w:drawing>
          <wp:inline distT="0" distB="0" distL="0" distR="0">
            <wp:extent cx="5016500" cy="2105025"/>
            <wp:effectExtent l="5080" t="4445" r="7620" b="5080"/>
            <wp:docPr id="1453270113" name="图表 14532701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DF9581E">
      <w:pPr>
        <w:pStyle w:val="33"/>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eastAsia="宋体"/>
          <w:b w:val="0"/>
          <w:sz w:val="21"/>
          <w:szCs w:val="21"/>
          <w:highlight w:val="none"/>
        </w:rPr>
      </w:pPr>
      <w:r>
        <w:rPr>
          <w:rFonts w:hint="eastAsia" w:ascii="宋体" w:hAnsi="宋体" w:eastAsia="宋体"/>
          <w:b w:val="0"/>
          <w:sz w:val="21"/>
          <w:szCs w:val="21"/>
          <w:highlight w:val="none"/>
        </w:rPr>
        <w:t>图1.本校2025届毕业生的主要就业指标</w:t>
      </w:r>
    </w:p>
    <w:p w14:paraId="7518E0AD">
      <w:pPr>
        <w:pStyle w:val="18"/>
        <w:widowControl w:val="0"/>
        <w:kinsoku/>
        <w:autoSpaceDE/>
        <w:autoSpaceDN/>
        <w:adjustRightInd/>
        <w:snapToGrid/>
        <w:spacing w:line="400" w:lineRule="exact"/>
        <w:ind w:firstLine="500" w:firstLineChars="200"/>
        <w:jc w:val="both"/>
        <w:textAlignment w:val="auto"/>
        <w:rPr>
          <w:rFonts w:hint="eastAsia" w:ascii="宋体" w:hAnsi="宋体" w:eastAsia="宋体" w:cs="宋体"/>
          <w:spacing w:val="5"/>
          <w:kern w:val="2"/>
          <w:sz w:val="24"/>
          <w:szCs w:val="24"/>
          <w:highlight w:val="none"/>
          <w:lang w:eastAsia="zh-CN"/>
        </w:rPr>
      </w:pPr>
      <w:r>
        <w:rPr>
          <w:rFonts w:hint="eastAsia" w:ascii="宋体" w:hAnsi="宋体" w:eastAsia="宋体" w:cs="宋体"/>
          <w:spacing w:val="5"/>
          <w:kern w:val="2"/>
          <w:sz w:val="24"/>
          <w:szCs w:val="24"/>
          <w:highlight w:val="none"/>
          <w:lang w:eastAsia="zh-CN"/>
        </w:rPr>
        <w:t>本校2025届本科毕业生主要就业指标与省内本科高校均值比较，就业满意度、人岗匹配度、单位满意度基本持平。</w:t>
      </w:r>
    </w:p>
    <w:p w14:paraId="6913B01C">
      <w:pPr>
        <w:pStyle w:val="18"/>
        <w:ind w:firstLine="210"/>
        <w:rPr>
          <w:rFonts w:hint="eastAsia"/>
          <w:highlight w:val="none"/>
        </w:rPr>
      </w:pPr>
      <w:r>
        <w:rPr>
          <w:highlight w:val="none"/>
        </w:rPr>
        <w:drawing>
          <wp:inline distT="0" distB="0" distL="0" distR="0">
            <wp:extent cx="4895850" cy="3333750"/>
            <wp:effectExtent l="4445" t="4445" r="14605" b="14605"/>
            <wp:docPr id="237652680" name="图表 2376526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A632596">
      <w:pPr>
        <w:pStyle w:val="33"/>
        <w:keepNext w:val="0"/>
        <w:keepLines w:val="0"/>
        <w:pageBreakBefore w:val="0"/>
        <w:widowControl w:val="0"/>
        <w:kinsoku/>
        <w:wordWrap/>
        <w:overflowPunct/>
        <w:topLinePunct w:val="0"/>
        <w:autoSpaceDE/>
        <w:autoSpaceDN/>
        <w:bidi w:val="0"/>
        <w:adjustRightInd w:val="0"/>
        <w:snapToGrid w:val="0"/>
        <w:jc w:val="center"/>
        <w:textAlignment w:val="auto"/>
        <w:rPr>
          <w:rFonts w:ascii="宋体" w:hAnsi="宋体" w:eastAsia="宋体"/>
          <w:b w:val="0"/>
          <w:sz w:val="21"/>
          <w:szCs w:val="21"/>
          <w:highlight w:val="none"/>
        </w:rPr>
      </w:pPr>
      <w:r>
        <w:rPr>
          <w:rFonts w:hint="eastAsia" w:ascii="宋体" w:hAnsi="宋体" w:eastAsia="宋体"/>
          <w:b w:val="0"/>
          <w:sz w:val="21"/>
          <w:szCs w:val="21"/>
          <w:highlight w:val="none"/>
        </w:rPr>
        <w:t>图2.本校2025届毕业生主要就业指标与省内本科高校均值对比</w:t>
      </w:r>
    </w:p>
    <w:p w14:paraId="39B076A9">
      <w:pPr>
        <w:spacing w:before="120" w:beforeLines="50" w:after="120" w:afterLines="50"/>
        <w:jc w:val="both"/>
        <w:outlineLvl w:val="1"/>
        <w:rPr>
          <w:rFonts w:hint="eastAsia" w:ascii="黑体" w:hAnsi="黑体" w:eastAsia="黑体" w:cs="黑体"/>
          <w:sz w:val="28"/>
          <w:szCs w:val="28"/>
          <w:highlight w:val="none"/>
          <w:lang w:val="en-US" w:eastAsia="zh-CN"/>
        </w:rPr>
      </w:pPr>
      <w:bookmarkStart w:id="73" w:name="_Toc32545"/>
      <w:r>
        <w:rPr>
          <w:rFonts w:hint="eastAsia" w:ascii="黑体" w:hAnsi="黑体" w:eastAsia="黑体" w:cs="黑体"/>
          <w:sz w:val="28"/>
          <w:szCs w:val="28"/>
          <w:highlight w:val="none"/>
          <w:lang w:val="en-US" w:eastAsia="zh-CN"/>
        </w:rPr>
        <w:t>六、社会用人单位对毕业生评价</w:t>
      </w:r>
      <w:bookmarkEnd w:id="73"/>
    </w:p>
    <w:p w14:paraId="325101FB">
      <w:pPr>
        <w:spacing w:line="400" w:lineRule="exact"/>
        <w:ind w:firstLine="500" w:firstLineChars="200"/>
        <w:jc w:val="both"/>
        <w:outlineLvl w:val="3"/>
        <w:rPr>
          <w:rFonts w:hint="eastAsia" w:ascii="宋体" w:hAnsi="宋体" w:eastAsia="宋体" w:cs="宋体"/>
          <w:spacing w:val="5"/>
          <w:sz w:val="24"/>
          <w:szCs w:val="24"/>
          <w:highlight w:val="none"/>
          <w:lang w:eastAsia="zh-CN"/>
        </w:rPr>
      </w:pPr>
      <w:r>
        <w:rPr>
          <w:rFonts w:hint="eastAsia" w:ascii="宋体" w:hAnsi="宋体" w:eastAsia="宋体" w:cs="宋体"/>
          <w:spacing w:val="5"/>
          <w:sz w:val="24"/>
          <w:szCs w:val="24"/>
          <w:highlight w:val="none"/>
          <w:lang w:eastAsia="zh-CN"/>
        </w:rPr>
        <w:t>我校委托第三方（山东人才信总科技有限公司）对近三年招聘录用过本校毕业生的用人单位进行满意度调查，共收回有效问卷</w:t>
      </w:r>
      <w:r>
        <w:rPr>
          <w:rFonts w:hint="eastAsia" w:ascii="宋体" w:hAnsi="宋体" w:eastAsia="宋体" w:cs="宋体"/>
          <w:spacing w:val="5"/>
          <w:sz w:val="24"/>
          <w:szCs w:val="24"/>
          <w:highlight w:val="none"/>
          <w:lang w:val="en-US" w:eastAsia="zh-CN"/>
        </w:rPr>
        <w:t>221</w:t>
      </w:r>
      <w:r>
        <w:rPr>
          <w:rFonts w:hint="eastAsia" w:ascii="宋体" w:hAnsi="宋体" w:eastAsia="宋体" w:cs="宋体"/>
          <w:spacing w:val="5"/>
          <w:sz w:val="24"/>
          <w:szCs w:val="24"/>
          <w:highlight w:val="none"/>
          <w:lang w:eastAsia="zh-CN"/>
        </w:rPr>
        <w:t>份。调查结果显示，用人单位对本校毕业生的总体满意度、工作表现情况以及综合素质能力等均给予了较高评价。</w:t>
      </w:r>
    </w:p>
    <w:p w14:paraId="14E56E1D">
      <w:pPr>
        <w:keepNext w:val="0"/>
        <w:keepLines w:val="0"/>
        <w:pageBreakBefore w:val="0"/>
        <w:widowControl/>
        <w:suppressLineNumbers w:val="0"/>
        <w:kinsoku/>
        <w:wordWrap/>
        <w:overflowPunct/>
        <w:topLinePunct w:val="0"/>
        <w:autoSpaceDE/>
        <w:autoSpaceDN/>
        <w:bidi w:val="0"/>
        <w:spacing w:line="400" w:lineRule="exact"/>
        <w:ind w:firstLine="480" w:firstLineChars="20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用人单位对本校本科毕业生的总体满意度（选项“很满意”“较满意”“基本满意”的比例之和，下同）达99.10%。调查结果如下图所示：</w:t>
      </w:r>
    </w:p>
    <w:p w14:paraId="369C964F">
      <w:pPr>
        <w:pStyle w:val="33"/>
        <w:adjustRightInd w:val="0"/>
        <w:snapToGrid w:val="0"/>
        <w:rPr>
          <w:rFonts w:ascii="宋体" w:hAnsi="宋体" w:eastAsia="宋体"/>
          <w:b w:val="0"/>
          <w:sz w:val="21"/>
          <w:highlight w:val="none"/>
        </w:rPr>
      </w:pPr>
      <w:r>
        <w:rPr>
          <w:highlight w:val="none"/>
        </w:rPr>
        <w:drawing>
          <wp:inline distT="0" distB="0" distL="0" distR="0">
            <wp:extent cx="4591050" cy="1040765"/>
            <wp:effectExtent l="4445" t="4445" r="14605" b="21590"/>
            <wp:docPr id="261692914" name="图表 2616929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A83C534">
      <w:pPr>
        <w:pStyle w:val="33"/>
        <w:keepNext w:val="0"/>
        <w:keepLines w:val="0"/>
        <w:pageBreakBefore w:val="0"/>
        <w:widowControl w:val="0"/>
        <w:kinsoku/>
        <w:wordWrap/>
        <w:overflowPunct/>
        <w:topLinePunct w:val="0"/>
        <w:autoSpaceDE/>
        <w:autoSpaceDN/>
        <w:bidi w:val="0"/>
        <w:adjustRightInd w:val="0"/>
        <w:snapToGrid w:val="0"/>
        <w:jc w:val="center"/>
        <w:textAlignment w:val="auto"/>
        <w:rPr>
          <w:rFonts w:ascii="宋体" w:hAnsi="宋体" w:eastAsia="宋体"/>
          <w:b w:val="0"/>
          <w:sz w:val="21"/>
          <w:szCs w:val="21"/>
          <w:highlight w:val="none"/>
        </w:rPr>
      </w:pPr>
      <w:bookmarkStart w:id="74" w:name="_Toc180147101"/>
      <w:r>
        <w:rPr>
          <w:rFonts w:ascii="宋体" w:hAnsi="宋体" w:eastAsia="宋体"/>
          <w:b w:val="0"/>
          <w:sz w:val="21"/>
          <w:szCs w:val="21"/>
          <w:highlight w:val="none"/>
        </w:rPr>
        <w:t>图</w:t>
      </w:r>
      <w:r>
        <w:rPr>
          <w:rFonts w:hint="eastAsia" w:eastAsia="宋体"/>
          <w:b w:val="0"/>
          <w:sz w:val="21"/>
          <w:szCs w:val="21"/>
          <w:highlight w:val="none"/>
          <w:lang w:val="en-US" w:eastAsia="zh-CN"/>
        </w:rPr>
        <w:t>6-</w:t>
      </w:r>
      <w:r>
        <w:rPr>
          <w:rFonts w:hint="eastAsia" w:ascii="宋体" w:hAnsi="宋体" w:eastAsia="宋体"/>
          <w:b w:val="0"/>
          <w:sz w:val="21"/>
          <w:szCs w:val="21"/>
          <w:highlight w:val="none"/>
          <w:lang w:val="en-US" w:eastAsia="zh-CN"/>
        </w:rPr>
        <w:t>1</w:t>
      </w:r>
      <w:r>
        <w:rPr>
          <w:rFonts w:hint="eastAsia" w:eastAsia="宋体"/>
          <w:b w:val="0"/>
          <w:sz w:val="21"/>
          <w:szCs w:val="21"/>
          <w:highlight w:val="none"/>
          <w:lang w:val="en-US" w:eastAsia="zh-CN"/>
        </w:rPr>
        <w:t xml:space="preserve"> </w:t>
      </w:r>
      <w:r>
        <w:rPr>
          <w:rFonts w:hint="eastAsia" w:ascii="宋体" w:hAnsi="宋体" w:eastAsia="宋体"/>
          <w:b w:val="0"/>
          <w:sz w:val="21"/>
          <w:szCs w:val="21"/>
          <w:highlight w:val="none"/>
        </w:rPr>
        <w:t>用人单位对本校毕业生的总体满意度</w:t>
      </w:r>
      <w:bookmarkEnd w:id="74"/>
    </w:p>
    <w:p w14:paraId="1E5F4FD3">
      <w:pPr>
        <w:keepNext w:val="0"/>
        <w:keepLines w:val="0"/>
        <w:pageBreakBefore w:val="0"/>
        <w:widowControl/>
        <w:suppressLineNumbers w:val="0"/>
        <w:kinsoku/>
        <w:wordWrap/>
        <w:overflowPunct/>
        <w:topLinePunct w:val="0"/>
        <w:autoSpaceDE/>
        <w:autoSpaceDN/>
        <w:bidi w:val="0"/>
        <w:spacing w:line="400" w:lineRule="exact"/>
        <w:ind w:firstLine="480" w:firstLineChars="200"/>
        <w:jc w:val="both"/>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用人单位对本校本科毕业生的政治素养、工作态度、专业技能、职业能力、发展潜力的满意度均达98%以上。</w:t>
      </w:r>
    </w:p>
    <w:p w14:paraId="658E56BE">
      <w:pPr>
        <w:pStyle w:val="33"/>
        <w:adjustRightInd w:val="0"/>
        <w:snapToGrid w:val="0"/>
        <w:rPr>
          <w:rFonts w:ascii="宋体" w:hAnsi="宋体" w:eastAsia="宋体"/>
          <w:b w:val="0"/>
          <w:sz w:val="21"/>
          <w:szCs w:val="21"/>
          <w:highlight w:val="none"/>
        </w:rPr>
      </w:pPr>
      <w:r>
        <w:rPr>
          <w:highlight w:val="none"/>
        </w:rPr>
        <w:drawing>
          <wp:inline distT="0" distB="0" distL="0" distR="0">
            <wp:extent cx="5073650" cy="2686050"/>
            <wp:effectExtent l="4445" t="4445" r="8255" b="14605"/>
            <wp:docPr id="464831238" name="图表 464831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F6516BA">
      <w:pPr>
        <w:pStyle w:val="33"/>
        <w:adjustRightInd w:val="0"/>
        <w:snapToGrid w:val="0"/>
        <w:jc w:val="center"/>
        <w:rPr>
          <w:rFonts w:ascii="宋体" w:hAnsi="宋体" w:eastAsia="宋体"/>
          <w:b w:val="0"/>
          <w:sz w:val="21"/>
          <w:szCs w:val="21"/>
          <w:highlight w:val="none"/>
        </w:rPr>
      </w:pPr>
      <w:bookmarkStart w:id="75" w:name="_Toc180147102"/>
      <w:r>
        <w:rPr>
          <w:rFonts w:ascii="宋体" w:hAnsi="宋体" w:eastAsia="宋体"/>
          <w:b w:val="0"/>
          <w:sz w:val="21"/>
          <w:szCs w:val="21"/>
          <w:highlight w:val="none"/>
        </w:rPr>
        <w:t>图</w:t>
      </w:r>
      <w:r>
        <w:rPr>
          <w:rFonts w:hint="eastAsia" w:eastAsia="宋体"/>
          <w:b w:val="0"/>
          <w:sz w:val="21"/>
          <w:szCs w:val="21"/>
          <w:highlight w:val="none"/>
          <w:lang w:val="en-US" w:eastAsia="zh-CN"/>
        </w:rPr>
        <w:t xml:space="preserve">6-2 </w:t>
      </w:r>
      <w:r>
        <w:rPr>
          <w:rFonts w:hint="eastAsia" w:ascii="宋体" w:hAnsi="宋体" w:eastAsia="宋体"/>
          <w:b w:val="0"/>
          <w:sz w:val="21"/>
          <w:szCs w:val="21"/>
          <w:highlight w:val="none"/>
        </w:rPr>
        <w:t>用人单位对本校毕业生有关素质能力的满意度</w:t>
      </w:r>
      <w:bookmarkEnd w:id="75"/>
    </w:p>
    <w:p w14:paraId="2C48AB8B">
      <w:pPr>
        <w:pStyle w:val="33"/>
        <w:adjustRightInd w:val="0"/>
        <w:snapToGrid w:val="0"/>
        <w:jc w:val="both"/>
        <w:rPr>
          <w:rFonts w:ascii="宋体" w:hAnsi="宋体" w:eastAsia="宋体"/>
          <w:b w:val="0"/>
          <w:sz w:val="21"/>
          <w:highlight w:val="none"/>
        </w:rPr>
      </w:pPr>
    </w:p>
    <w:p w14:paraId="362F3208">
      <w:pPr>
        <w:spacing w:before="120" w:beforeLines="50" w:after="120" w:afterLines="50"/>
        <w:jc w:val="both"/>
        <w:outlineLvl w:val="1"/>
        <w:rPr>
          <w:rFonts w:hint="eastAsia" w:ascii="黑体" w:hAnsi="黑体" w:eastAsia="黑体" w:cs="黑体"/>
          <w:sz w:val="28"/>
          <w:szCs w:val="28"/>
          <w:highlight w:val="none"/>
          <w:lang w:val="en-US" w:eastAsia="zh-CN"/>
        </w:rPr>
      </w:pPr>
      <w:bookmarkStart w:id="76" w:name="_Toc18156"/>
      <w:r>
        <w:rPr>
          <w:rFonts w:hint="eastAsia" w:ascii="黑体" w:hAnsi="黑体" w:eastAsia="黑体" w:cs="黑体"/>
          <w:sz w:val="28"/>
          <w:szCs w:val="28"/>
          <w:highlight w:val="none"/>
          <w:lang w:val="en-US" w:eastAsia="zh-CN"/>
        </w:rPr>
        <w:t>七、校友（毕业生）成就</w:t>
      </w:r>
      <w:bookmarkEnd w:id="76"/>
    </w:p>
    <w:p w14:paraId="12B92EBB">
      <w:pPr>
        <w:widowControl w:val="0"/>
        <w:kinsoku/>
        <w:autoSpaceDN/>
        <w:adjustRightInd/>
        <w:snapToGrid/>
        <w:spacing w:line="400" w:lineRule="exact"/>
        <w:ind w:firstLine="480" w:firstLineChars="200"/>
        <w:jc w:val="both"/>
        <w:textAlignment w:val="auto"/>
        <w:rPr>
          <w:rFonts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学校全面贯彻党的教育方针，</w:t>
      </w:r>
      <w:r>
        <w:rPr>
          <w:rFonts w:ascii="宋体" w:hAnsi="宋体" w:eastAsia="宋体" w:cs="宋体"/>
          <w:color w:val="auto"/>
          <w:kern w:val="2"/>
          <w:sz w:val="24"/>
          <w:szCs w:val="24"/>
          <w:highlight w:val="none"/>
          <w:lang w:eastAsia="zh-CN"/>
        </w:rPr>
        <w:t>坚持以学生成长和发展为中心，培养了一大批优秀毕业生</w:t>
      </w:r>
      <w:r>
        <w:rPr>
          <w:rFonts w:hint="eastAsia" w:ascii="宋体" w:hAnsi="宋体" w:eastAsia="宋体" w:cs="宋体"/>
          <w:color w:val="auto"/>
          <w:kern w:val="2"/>
          <w:sz w:val="24"/>
          <w:szCs w:val="24"/>
          <w:highlight w:val="none"/>
          <w:lang w:eastAsia="zh-CN"/>
        </w:rPr>
        <w:t>，</w:t>
      </w:r>
      <w:r>
        <w:rPr>
          <w:rFonts w:ascii="宋体" w:hAnsi="宋体" w:eastAsia="宋体" w:cs="宋体"/>
          <w:color w:val="auto"/>
          <w:kern w:val="2"/>
          <w:sz w:val="24"/>
          <w:szCs w:val="24"/>
          <w:highlight w:val="none"/>
          <w:lang w:eastAsia="zh-CN"/>
        </w:rPr>
        <w:t>涌现出一大批爱岗敬业的优秀</w:t>
      </w:r>
      <w:r>
        <w:rPr>
          <w:rFonts w:hint="eastAsia" w:ascii="宋体" w:hAnsi="宋体" w:eastAsia="宋体" w:cs="宋体"/>
          <w:color w:val="auto"/>
          <w:kern w:val="2"/>
          <w:sz w:val="24"/>
          <w:szCs w:val="24"/>
          <w:highlight w:val="none"/>
          <w:lang w:eastAsia="zh-CN"/>
        </w:rPr>
        <w:t>医护工作者</w:t>
      </w:r>
      <w:r>
        <w:rPr>
          <w:rFonts w:ascii="宋体" w:hAnsi="宋体" w:eastAsia="宋体" w:cs="宋体"/>
          <w:color w:val="auto"/>
          <w:kern w:val="2"/>
          <w:sz w:val="24"/>
          <w:szCs w:val="24"/>
          <w:highlight w:val="none"/>
          <w:lang w:eastAsia="zh-CN"/>
        </w:rPr>
        <w:t>和教育管理者</w:t>
      </w:r>
      <w:r>
        <w:rPr>
          <w:rFonts w:hint="eastAsia" w:ascii="宋体" w:hAnsi="宋体" w:eastAsia="宋体" w:cs="宋体"/>
          <w:color w:val="auto"/>
          <w:kern w:val="2"/>
          <w:sz w:val="24"/>
          <w:szCs w:val="24"/>
          <w:highlight w:val="none"/>
          <w:lang w:eastAsia="zh-CN"/>
        </w:rPr>
        <w:t>，以及许多为人民服务的乡镇基层工作者。我校的人才培养质量受到各用人单位的一致好评，获得较高的满意度评价。</w:t>
      </w:r>
    </w:p>
    <w:p w14:paraId="6CF6964C">
      <w:pPr>
        <w:spacing w:line="400" w:lineRule="exact"/>
        <w:ind w:firstLine="480" w:firstLineChars="200"/>
        <w:jc w:val="both"/>
        <w:rPr>
          <w:rFonts w:ascii="宋体" w:hAnsi="宋体" w:eastAsia="宋体" w:cs="宋体"/>
          <w:bCs/>
          <w:iCs/>
          <w:color w:val="FF0000"/>
          <w:sz w:val="24"/>
          <w:szCs w:val="24"/>
          <w:highlight w:val="none"/>
          <w:lang w:eastAsia="zh-CN"/>
        </w:rPr>
      </w:pPr>
      <w:r>
        <w:rPr>
          <w:rFonts w:hint="eastAsia" w:ascii="宋体" w:hAnsi="宋体" w:eastAsia="宋体" w:cs="宋体"/>
          <w:color w:val="auto"/>
          <w:sz w:val="24"/>
          <w:szCs w:val="24"/>
          <w:highlight w:val="none"/>
          <w:lang w:eastAsia="zh-CN"/>
        </w:rPr>
        <w:t>学校紧紧围绕“以学生为本，促进学生成长成才”这一主线，以学生教育为基础，在管理中加强服务，在服务中体现管理，促进教管结合。</w:t>
      </w:r>
      <w:r>
        <w:rPr>
          <w:rFonts w:hint="eastAsia" w:ascii="宋体" w:hAnsi="宋体" w:eastAsia="宋体" w:cs="宋体"/>
          <w:color w:val="auto"/>
          <w:kern w:val="2"/>
          <w:sz w:val="24"/>
          <w:szCs w:val="24"/>
          <w:highlight w:val="none"/>
          <w:lang w:eastAsia="zh-CN"/>
        </w:rPr>
        <w:t>培养学生树立正确的世界观、人生观、价值观，增强共产主义理想信念和社会责任感，</w:t>
      </w:r>
      <w:r>
        <w:rPr>
          <w:rFonts w:hint="eastAsia" w:ascii="宋体" w:hAnsi="宋体" w:eastAsia="宋体" w:cs="宋体"/>
          <w:color w:val="auto"/>
          <w:kern w:val="2"/>
          <w:sz w:val="24"/>
          <w:szCs w:val="24"/>
          <w:highlight w:val="none"/>
          <w:lang w:val="en-US" w:eastAsia="zh-CN"/>
        </w:rPr>
        <w:t>涌现出一批勇于承担社会责任、参加西部计划的毕业生</w:t>
      </w:r>
      <w:r>
        <w:rPr>
          <w:rFonts w:hint="eastAsia" w:ascii="宋体" w:hAnsi="宋体" w:eastAsia="宋体" w:cs="宋体"/>
          <w:color w:val="auto"/>
          <w:sz w:val="24"/>
          <w:szCs w:val="24"/>
          <w:highlight w:val="none"/>
          <w:lang w:eastAsia="zh-CN"/>
        </w:rPr>
        <w:t>。</w:t>
      </w:r>
      <w:r>
        <w:rPr>
          <w:rFonts w:hint="eastAsia" w:ascii="宋体" w:hAnsi="宋体" w:eastAsia="宋体" w:cs="宋体"/>
          <w:bCs/>
          <w:iCs/>
          <w:color w:val="FF0000"/>
          <w:sz w:val="24"/>
          <w:szCs w:val="24"/>
          <w:highlight w:val="none"/>
          <w:lang w:eastAsia="zh-CN"/>
        </w:rPr>
        <w:br w:type="page"/>
      </w:r>
    </w:p>
    <w:p w14:paraId="67D8729C">
      <w:pPr>
        <w:kinsoku/>
        <w:spacing w:before="120" w:beforeLines="50" w:after="120" w:afterLines="50"/>
        <w:jc w:val="both"/>
        <w:outlineLvl w:val="0"/>
        <w:rPr>
          <w:rFonts w:hint="eastAsia" w:ascii="黑体" w:hAnsi="黑体" w:eastAsia="黑体" w:cs="黑体"/>
          <w:bCs/>
          <w:color w:val="auto"/>
          <w:position w:val="14"/>
          <w:sz w:val="30"/>
          <w:szCs w:val="30"/>
          <w:highlight w:val="none"/>
          <w:lang w:eastAsia="zh-CN"/>
        </w:rPr>
      </w:pPr>
      <w:bookmarkStart w:id="77" w:name="_Toc18247"/>
      <w:r>
        <w:rPr>
          <w:rFonts w:hint="eastAsia" w:ascii="黑体" w:hAnsi="黑体" w:eastAsia="黑体" w:cs="黑体"/>
          <w:bCs/>
          <w:color w:val="auto"/>
          <w:position w:val="14"/>
          <w:sz w:val="30"/>
          <w:szCs w:val="30"/>
          <w:highlight w:val="none"/>
          <w:lang w:eastAsia="zh-CN"/>
        </w:rPr>
        <w:t>第七部分 特色发展</w:t>
      </w:r>
      <w:bookmarkEnd w:id="77"/>
    </w:p>
    <w:p w14:paraId="7269F55B">
      <w:pPr>
        <w:spacing w:before="120" w:beforeLines="50" w:after="120" w:afterLines="50"/>
        <w:jc w:val="both"/>
        <w:outlineLvl w:val="1"/>
        <w:rPr>
          <w:rFonts w:ascii="黑体" w:hAnsi="黑体" w:eastAsia="黑体" w:cs="黑体"/>
          <w:color w:val="auto"/>
          <w:sz w:val="28"/>
          <w:szCs w:val="28"/>
          <w:highlight w:val="none"/>
          <w:lang w:eastAsia="zh-CN"/>
        </w:rPr>
      </w:pPr>
      <w:bookmarkStart w:id="78" w:name="_Toc16750"/>
      <w:r>
        <w:rPr>
          <w:rFonts w:hint="eastAsia" w:ascii="黑体" w:hAnsi="黑体" w:eastAsia="黑体" w:cs="黑体"/>
          <w:color w:val="auto"/>
          <w:sz w:val="28"/>
          <w:szCs w:val="28"/>
          <w:highlight w:val="none"/>
          <w:lang w:val="en-US" w:eastAsia="zh-CN"/>
        </w:rPr>
        <w:t>一</w:t>
      </w:r>
      <w:r>
        <w:rPr>
          <w:rFonts w:hint="eastAsia" w:ascii="黑体" w:hAnsi="黑体" w:eastAsia="黑体" w:cs="黑体"/>
          <w:color w:val="auto"/>
          <w:sz w:val="28"/>
          <w:szCs w:val="28"/>
          <w:highlight w:val="none"/>
          <w:lang w:eastAsia="zh-CN"/>
        </w:rPr>
        <w:t>、学科专业建设</w:t>
      </w:r>
      <w:bookmarkEnd w:id="78"/>
    </w:p>
    <w:p w14:paraId="43BD8F1D">
      <w:pPr>
        <w:keepNext w:val="0"/>
        <w:keepLines w:val="0"/>
        <w:pageBreakBefore w:val="0"/>
        <w:widowControl/>
        <w:kinsoku w:val="0"/>
        <w:wordWrap/>
        <w:overflowPunct/>
        <w:topLinePunct w:val="0"/>
        <w:autoSpaceDE w:val="0"/>
        <w:autoSpaceDN w:val="0"/>
        <w:bidi w:val="0"/>
        <w:adjustRightInd w:val="0"/>
        <w:snapToGrid w:val="0"/>
        <w:spacing w:before="120" w:beforeLines="50" w:after="120" w:afterLines="50"/>
        <w:jc w:val="both"/>
        <w:textAlignment w:val="baseline"/>
        <w:outlineLvl w:val="2"/>
        <w:rPr>
          <w:rFonts w:hint="eastAsia"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（一）立足优势特色，制定高水平学科建设方案</w:t>
      </w:r>
    </w:p>
    <w:p w14:paraId="3D485073">
      <w:pPr>
        <w:widowControl w:val="0"/>
        <w:kinsoku/>
        <w:autoSpaceDE/>
        <w:autoSpaceDN/>
        <w:adjustRightInd/>
        <w:snapToGrid/>
        <w:spacing w:line="40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学校围绕服务国家重大战略，根据我省社会政治、经济、科技、文化发展以及实现可持续发展对人才的需求，结合学校中长期发展规划，立足优势特色，确定学科体系、调整学科布局和设置学科方向，科学制定《山东现代学院高水平学科建设方案》，分清主次、突出特色，分步实施。“十四五”期间，重点建设护理学、教育学两个学科，培育建设医学技术、中药学、计算机科学与技术三个学科，扶持储备工商管理、机械工程、电子科学与技术三个学科。</w:t>
      </w:r>
    </w:p>
    <w:p w14:paraId="090E9C63">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（二）服务地方经济发展，构建应用型专业体系</w:t>
      </w:r>
    </w:p>
    <w:p w14:paraId="535D7DA0">
      <w:pPr>
        <w:widowControl w:val="0"/>
        <w:kinsoku/>
        <w:autoSpaceDE/>
        <w:autoSpaceDN/>
        <w:adjustRightInd/>
        <w:snapToGrid/>
        <w:spacing w:line="400" w:lineRule="exact"/>
        <w:ind w:firstLine="480" w:firstLineChars="200"/>
        <w:jc w:val="both"/>
        <w:textAlignment w:val="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学校坚持突出办学特色，制定了《山东现代学院关于加强专业建设的实施意见》，</w:t>
      </w:r>
      <w:r>
        <w:rPr>
          <w:rFonts w:hint="eastAsia" w:ascii="宋体" w:hAnsi="宋体" w:eastAsia="宋体" w:cs="宋体"/>
          <w:color w:val="auto"/>
          <w:sz w:val="24"/>
          <w:szCs w:val="24"/>
          <w:highlight w:val="none"/>
          <w:lang w:val="en-US" w:eastAsia="zh-CN"/>
        </w:rPr>
        <w:t>起草了</w:t>
      </w:r>
      <w:r>
        <w:rPr>
          <w:rFonts w:hint="eastAsia" w:ascii="宋体" w:hAnsi="宋体" w:eastAsia="宋体" w:cs="宋体"/>
          <w:color w:val="auto"/>
          <w:sz w:val="24"/>
          <w:szCs w:val="24"/>
          <w:highlight w:val="none"/>
          <w:lang w:eastAsia="zh-CN"/>
        </w:rPr>
        <w:t>《山东现代学院“十</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五”学科</w:t>
      </w:r>
      <w:r>
        <w:rPr>
          <w:rFonts w:hint="eastAsia" w:ascii="宋体" w:hAnsi="宋体" w:eastAsia="宋体" w:cs="宋体"/>
          <w:color w:val="auto"/>
          <w:sz w:val="24"/>
          <w:szCs w:val="24"/>
          <w:highlight w:val="none"/>
          <w:lang w:val="en-US" w:eastAsia="zh-CN"/>
        </w:rPr>
        <w:t>专业</w:t>
      </w:r>
      <w:r>
        <w:rPr>
          <w:rFonts w:hint="eastAsia" w:ascii="宋体" w:hAnsi="宋体" w:eastAsia="宋体" w:cs="宋体"/>
          <w:color w:val="auto"/>
          <w:sz w:val="24"/>
          <w:szCs w:val="24"/>
          <w:highlight w:val="none"/>
          <w:lang w:eastAsia="zh-CN"/>
        </w:rPr>
        <w:t>建设</w:t>
      </w:r>
      <w:r>
        <w:rPr>
          <w:rFonts w:hint="eastAsia" w:ascii="宋体" w:hAnsi="宋体" w:eastAsia="宋体" w:cs="宋体"/>
          <w:color w:val="auto"/>
          <w:sz w:val="24"/>
          <w:szCs w:val="24"/>
          <w:highlight w:val="none"/>
          <w:lang w:val="en-US" w:eastAsia="zh-CN"/>
        </w:rPr>
        <w:t>发展</w:t>
      </w:r>
      <w:r>
        <w:rPr>
          <w:rFonts w:hint="eastAsia" w:ascii="宋体" w:hAnsi="宋体" w:eastAsia="宋体" w:cs="宋体"/>
          <w:color w:val="auto"/>
          <w:sz w:val="24"/>
          <w:szCs w:val="24"/>
          <w:highlight w:val="none"/>
          <w:lang w:eastAsia="zh-CN"/>
        </w:rPr>
        <w:t>规划》等文件，按照“统筹规划、突出优势、重点建设、示范引领”的建设思路，主动服务山东省产业结构调整、经济增长方式转变和山东省“十强产业”、“6997”现代化工业体系发展需求，不断调整优化专业结构布局，重点围绕新一代信息技术、高端装备制造、医养健康、文化创意等产业领域合理规划设置专业，优化专业结构和布局。具体专业详见表7-1。</w:t>
      </w:r>
    </w:p>
    <w:p w14:paraId="4C13FC86">
      <w:pPr>
        <w:widowControl w:val="0"/>
        <w:kinsoku/>
        <w:autoSpaceDE/>
        <w:autoSpaceDN/>
        <w:adjustRightInd/>
        <w:snapToGrid/>
        <w:spacing w:line="400" w:lineRule="exact"/>
        <w:jc w:val="center"/>
        <w:textAlignment w:val="auto"/>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表</w:t>
      </w:r>
      <w:r>
        <w:rPr>
          <w:rFonts w:hint="eastAsia" w:asciiTheme="minorEastAsia" w:hAnsiTheme="minorEastAsia" w:cstheme="minorEastAsia"/>
          <w:color w:val="auto"/>
          <w:highlight w:val="none"/>
          <w:lang w:eastAsia="zh-CN"/>
        </w:rPr>
        <w:t xml:space="preserve">7-1  </w:t>
      </w:r>
      <w:r>
        <w:rPr>
          <w:rFonts w:hint="eastAsia" w:asciiTheme="minorEastAsia" w:hAnsiTheme="minorEastAsia" w:eastAsiaTheme="minorEastAsia" w:cstheme="minorEastAsia"/>
          <w:color w:val="auto"/>
          <w:highlight w:val="none"/>
          <w:lang w:eastAsia="zh-CN"/>
        </w:rPr>
        <w:t>专业与地方产业对接（服务）情况</w:t>
      </w:r>
    </w:p>
    <w:tbl>
      <w:tblPr>
        <w:tblStyle w:val="19"/>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8"/>
        <w:gridCol w:w="2561"/>
      </w:tblGrid>
      <w:tr w14:paraId="229F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858" w:type="dxa"/>
            <w:shd w:val="clear" w:color="auto" w:fill="auto"/>
            <w:noWrap/>
            <w:vAlign w:val="center"/>
          </w:tcPr>
          <w:p w14:paraId="7B494FD8">
            <w:pPr>
              <w:adjustRightInd/>
              <w:snapToGrid/>
              <w:spacing w:line="400" w:lineRule="exact"/>
              <w:jc w:val="center"/>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本科专业</w:t>
            </w:r>
          </w:p>
        </w:tc>
        <w:tc>
          <w:tcPr>
            <w:tcW w:w="2561" w:type="dxa"/>
            <w:shd w:val="clear" w:color="auto" w:fill="auto"/>
            <w:noWrap/>
            <w:vAlign w:val="center"/>
          </w:tcPr>
          <w:p w14:paraId="3816FC7C">
            <w:pPr>
              <w:adjustRightInd/>
              <w:snapToGrid/>
              <w:spacing w:line="400" w:lineRule="exact"/>
              <w:jc w:val="center"/>
              <w:rPr>
                <w:rFonts w:asciiTheme="minorEastAsia" w:hAnsiTheme="minorEastAsia" w:eastAsiaTheme="minorEastAsia" w:cstheme="minorEastAsia"/>
                <w:b/>
                <w:bCs/>
                <w:color w:val="auto"/>
                <w:highlight w:val="none"/>
                <w:lang w:eastAsia="zh-CN"/>
              </w:rPr>
            </w:pPr>
            <w:r>
              <w:rPr>
                <w:rFonts w:hint="eastAsia" w:asciiTheme="minorEastAsia" w:hAnsiTheme="minorEastAsia" w:eastAsiaTheme="minorEastAsia" w:cstheme="minorEastAsia"/>
                <w:b/>
                <w:bCs/>
                <w:color w:val="auto"/>
                <w:highlight w:val="none"/>
              </w:rPr>
              <w:t>山东省</w:t>
            </w:r>
            <w:r>
              <w:rPr>
                <w:rFonts w:hint="eastAsia" w:asciiTheme="minorEastAsia" w:hAnsiTheme="minorEastAsia" w:eastAsiaTheme="minorEastAsia" w:cstheme="minorEastAsia"/>
                <w:b/>
                <w:bCs/>
                <w:color w:val="auto"/>
                <w:highlight w:val="none"/>
                <w:lang w:eastAsia="zh-CN"/>
              </w:rPr>
              <w:t>“</w:t>
            </w:r>
            <w:r>
              <w:rPr>
                <w:rFonts w:hint="eastAsia" w:asciiTheme="minorEastAsia" w:hAnsiTheme="minorEastAsia" w:eastAsiaTheme="minorEastAsia" w:cstheme="minorEastAsia"/>
                <w:b/>
                <w:bCs/>
                <w:color w:val="auto"/>
                <w:highlight w:val="none"/>
              </w:rPr>
              <w:t>十强产业</w:t>
            </w:r>
            <w:r>
              <w:rPr>
                <w:rFonts w:hint="eastAsia" w:asciiTheme="minorEastAsia" w:hAnsiTheme="minorEastAsia" w:eastAsiaTheme="minorEastAsia" w:cstheme="minorEastAsia"/>
                <w:b/>
                <w:bCs/>
                <w:color w:val="auto"/>
                <w:highlight w:val="none"/>
                <w:lang w:eastAsia="zh-CN"/>
              </w:rPr>
              <w:t>”</w:t>
            </w:r>
          </w:p>
        </w:tc>
      </w:tr>
      <w:tr w14:paraId="513F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5858" w:type="dxa"/>
            <w:shd w:val="clear" w:color="auto" w:fill="auto"/>
            <w:vAlign w:val="center"/>
          </w:tcPr>
          <w:p w14:paraId="5728E13E">
            <w:pPr>
              <w:adjustRightInd/>
              <w:snapToGrid/>
              <w:spacing w:line="400" w:lineRule="exact"/>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计算机科学与技术、电子信息工程、网络工程、数据科学与大数据、人工智能</w:t>
            </w:r>
          </w:p>
        </w:tc>
        <w:tc>
          <w:tcPr>
            <w:tcW w:w="2561" w:type="dxa"/>
            <w:shd w:val="clear" w:color="auto" w:fill="auto"/>
            <w:noWrap/>
            <w:vAlign w:val="center"/>
          </w:tcPr>
          <w:p w14:paraId="10F62CFF">
            <w:pPr>
              <w:adjustRightInd/>
              <w:snapToGrid/>
              <w:spacing w:line="40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新一代信息技术</w:t>
            </w:r>
          </w:p>
        </w:tc>
      </w:tr>
      <w:tr w14:paraId="7E9C9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5858" w:type="dxa"/>
            <w:shd w:val="clear" w:color="auto" w:fill="auto"/>
            <w:vAlign w:val="center"/>
          </w:tcPr>
          <w:p w14:paraId="14473D6A">
            <w:pPr>
              <w:adjustRightInd/>
              <w:snapToGrid/>
              <w:spacing w:line="400" w:lineRule="exact"/>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工程造价、土木工程、交通运输、物流管理、汽车服务工程</w:t>
            </w:r>
          </w:p>
        </w:tc>
        <w:tc>
          <w:tcPr>
            <w:tcW w:w="2561" w:type="dxa"/>
            <w:shd w:val="clear" w:color="auto" w:fill="auto"/>
            <w:noWrap/>
            <w:vAlign w:val="center"/>
          </w:tcPr>
          <w:p w14:paraId="11E324AB">
            <w:pPr>
              <w:adjustRightInd/>
              <w:snapToGrid/>
              <w:spacing w:line="40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高端装备</w:t>
            </w:r>
          </w:p>
        </w:tc>
      </w:tr>
      <w:tr w14:paraId="0139E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5858" w:type="dxa"/>
            <w:shd w:val="clear" w:color="auto" w:fill="auto"/>
            <w:vAlign w:val="center"/>
          </w:tcPr>
          <w:p w14:paraId="3776F3F0">
            <w:pPr>
              <w:adjustRightInd/>
              <w:snapToGrid/>
              <w:spacing w:line="400" w:lineRule="exact"/>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医学检验技术、康复治疗学、护理学、助产学、中药学、药学、中药制药</w:t>
            </w:r>
          </w:p>
        </w:tc>
        <w:tc>
          <w:tcPr>
            <w:tcW w:w="2561" w:type="dxa"/>
            <w:shd w:val="clear" w:color="auto" w:fill="auto"/>
            <w:noWrap/>
            <w:vAlign w:val="center"/>
          </w:tcPr>
          <w:p w14:paraId="78E24DD5">
            <w:pPr>
              <w:adjustRightInd/>
              <w:snapToGrid/>
              <w:spacing w:line="40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医养健康</w:t>
            </w:r>
          </w:p>
        </w:tc>
      </w:tr>
      <w:tr w14:paraId="73376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5858" w:type="dxa"/>
            <w:shd w:val="clear" w:color="auto" w:fill="auto"/>
            <w:vAlign w:val="center"/>
          </w:tcPr>
          <w:p w14:paraId="0DF39035">
            <w:pPr>
              <w:adjustRightInd/>
              <w:snapToGrid/>
              <w:spacing w:line="400" w:lineRule="exact"/>
              <w:jc w:val="both"/>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视觉传达设计、数字媒体技术、绘画、舞蹈表演、学前教育、汉语国际教育</w:t>
            </w:r>
          </w:p>
        </w:tc>
        <w:tc>
          <w:tcPr>
            <w:tcW w:w="2561" w:type="dxa"/>
            <w:shd w:val="clear" w:color="auto" w:fill="auto"/>
            <w:noWrap/>
            <w:vAlign w:val="center"/>
          </w:tcPr>
          <w:p w14:paraId="415D2970">
            <w:pPr>
              <w:adjustRightInd/>
              <w:snapToGrid/>
              <w:spacing w:line="400" w:lineRule="exact"/>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文化创意</w:t>
            </w:r>
          </w:p>
        </w:tc>
      </w:tr>
    </w:tbl>
    <w:p w14:paraId="76BC27DC">
      <w:pPr>
        <w:spacing w:before="120" w:beforeLines="50" w:after="120" w:afterLines="50"/>
        <w:jc w:val="both"/>
        <w:outlineLvl w:val="2"/>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（三）贯彻“四新”建设要求，努力打造专业特色</w:t>
      </w:r>
    </w:p>
    <w:p w14:paraId="2F53A9F9">
      <w:pPr>
        <w:widowControl w:val="0"/>
        <w:kinsoku/>
        <w:autoSpaceDE/>
        <w:autoSpaceDN/>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注重将体制机制优势转化为资源优势，深化产教融合、校企合作，积极将产业及岗位需求融入课程内容，开发基于职业、岗位能力的课程标准。对省级、校级一流专业建设点专业，按照新工科、新医科、新文科建设要求，以省内外同类先进高校为标杆，着力打造专业建设特色，如护理学专业形成的“崇德精护、能力为本、校地融合”专业特色；财务管理专业形成的“夯实基础强能力，赛创融合重创新”的专业特色；电子信息工程专业围绕新工科“新、快、特”特点，着重在“多方参与的个性化人才培养体系”“按兴趣选择的课程体系”“CDIO教学模式”等方面进行了有效探索；计算机科学与技术专业以技术进步驱动课程改革，整合相关学科专业课程，注重培养学生的应用能力。</w:t>
      </w:r>
    </w:p>
    <w:p w14:paraId="7BAB690D">
      <w:pPr>
        <w:widowControl w:val="0"/>
        <w:kinsoku/>
        <w:autoSpaceDE/>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eastAsia="zh-CN"/>
        </w:rPr>
        <w:t>学校经专业优化调整论证会商讨论证，2024年备案食品卫生与营养学、运动与公共健康、药物制剂、眼视光学、网络与新媒体、汉语言文学等6个预申报专业，重点打造医养健康、新一代信息技术、文化创意等专业群，进一步优化专业结构，积极推进“四新”专业建设，做强医学、药学、护理学、人工智能、数据科学与大数据技术等支撑战略性新兴产业发展的专业，强化学科交叉和专业融合，加快市场营销、财务管理等传统专业升级改造。</w:t>
      </w:r>
    </w:p>
    <w:p w14:paraId="65E2CCCA">
      <w:pPr>
        <w:spacing w:before="120" w:beforeLines="50" w:after="120" w:afterLines="50"/>
        <w:jc w:val="both"/>
        <w:outlineLvl w:val="1"/>
        <w:rPr>
          <w:rFonts w:ascii="黑体" w:hAnsi="黑体" w:eastAsia="黑体" w:cs="黑体"/>
          <w:sz w:val="28"/>
          <w:szCs w:val="28"/>
          <w:highlight w:val="none"/>
          <w:lang w:eastAsia="zh-CN"/>
        </w:rPr>
      </w:pPr>
      <w:bookmarkStart w:id="79" w:name="_Toc6663"/>
      <w:r>
        <w:rPr>
          <w:rFonts w:hint="eastAsia" w:ascii="黑体" w:hAnsi="黑体" w:eastAsia="黑体" w:cs="黑体"/>
          <w:sz w:val="28"/>
          <w:szCs w:val="28"/>
          <w:highlight w:val="none"/>
          <w:lang w:val="en-US" w:eastAsia="zh-CN"/>
        </w:rPr>
        <w:t>二</w:t>
      </w:r>
      <w:r>
        <w:rPr>
          <w:rFonts w:hint="eastAsia" w:ascii="黑体" w:hAnsi="黑体" w:eastAsia="黑体" w:cs="黑体"/>
          <w:sz w:val="28"/>
          <w:szCs w:val="28"/>
          <w:highlight w:val="none"/>
          <w:lang w:eastAsia="zh-CN"/>
        </w:rPr>
        <w:t>、应用型人才培养模式改革</w:t>
      </w:r>
      <w:bookmarkEnd w:id="79"/>
    </w:p>
    <w:p w14:paraId="5914C663">
      <w:pPr>
        <w:kinsoku/>
        <w:autoSpaceDE/>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学校围绕高素质应用型本科人才培养目标，创新性形成了一条主线、二方育人、三大平台、四类课程、五项对接的“12345”应用型人才培养模式。“一条主线”即坚持以能力培养为主线，推进教育教学改革，形成以能力培养为核心的应用型人才培养体系；“二方育人”即实施专业育人和文化育人相结合，以专业教育培养学生专业实践能力，以文化浸润提升学生综合素质；“三大平台”即依托产教融合平台、实验实训平台、制度建设平台，为学生的能力培养提供条件支撑和制度保障；“四类课程”即建好通识教育课程、学科专业基础课程、专业课程、集中实践课程，构建适应应用型人才培养的课程体系；“五项对接”即做到培养规格与行业需求对接、专业教育与职业岗位对接、课程内容与职业标准对接、教学过程与生产过程对接、学历证书与职业资格证书对接，强化专业实践能力、职业能力的培养，提升应用型人才培养质量。</w:t>
      </w:r>
    </w:p>
    <w:p w14:paraId="44F9FDB9">
      <w:pPr>
        <w:kinsoku/>
        <w:autoSpaceDE/>
        <w:autoSpaceDN/>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在此基本模式的架构下，各专业积极探索具有个性的应用型人才培养模式，如医学院“一核双制三维四体评价驱动”应用型医学人才培养模式，人工智能专业积极探索“四维度三阶段三路径”的人才培养模式，视觉传达设计专业构建“一基二能三创四融”的应用型人才培养模式，护理学专业形成了基于三一分段的“123”人才培养模式，汽车服务工程专业形成了“理实结合、产学结合、平块结合”人才培养模式，中药学专业构建了“一提高、二发展、三培养、四坚持”人才培养模式。</w:t>
      </w:r>
    </w:p>
    <w:p w14:paraId="7F8B44F4">
      <w:pPr>
        <w:spacing w:before="120" w:beforeLines="50" w:after="120" w:afterLines="50"/>
        <w:jc w:val="both"/>
        <w:outlineLvl w:val="1"/>
        <w:rPr>
          <w:rFonts w:ascii="黑体" w:hAnsi="黑体" w:eastAsia="黑体" w:cs="黑体"/>
          <w:sz w:val="28"/>
          <w:szCs w:val="28"/>
          <w:highlight w:val="none"/>
          <w:lang w:eastAsia="zh-CN"/>
        </w:rPr>
      </w:pPr>
      <w:bookmarkStart w:id="80" w:name="_Toc20741"/>
      <w:r>
        <w:rPr>
          <w:rFonts w:hint="eastAsia" w:ascii="黑体" w:hAnsi="黑体" w:eastAsia="黑体" w:cs="黑体"/>
          <w:sz w:val="28"/>
          <w:szCs w:val="28"/>
          <w:highlight w:val="none"/>
          <w:lang w:val="en-US" w:eastAsia="zh-CN"/>
        </w:rPr>
        <w:t>三</w:t>
      </w:r>
      <w:r>
        <w:rPr>
          <w:rFonts w:hint="eastAsia" w:ascii="黑体" w:hAnsi="黑体" w:eastAsia="黑体" w:cs="黑体"/>
          <w:sz w:val="28"/>
          <w:szCs w:val="28"/>
          <w:highlight w:val="none"/>
          <w:lang w:eastAsia="zh-CN"/>
        </w:rPr>
        <w:t>、文化育人</w:t>
      </w:r>
      <w:bookmarkEnd w:id="80"/>
    </w:p>
    <w:p w14:paraId="1A43A55B">
      <w:pPr>
        <w:kinsoku/>
        <w:autoSpaceDE/>
        <w:autoSpaceDN/>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学校全面贯彻党的教育方针，深入学习贯彻习近平总书记关于</w:t>
      </w:r>
      <w:r>
        <w:rPr>
          <w:rFonts w:hint="eastAsia" w:asciiTheme="minorEastAsia" w:hAnsiTheme="minorEastAsia" w:cstheme="minorEastAsia"/>
          <w:color w:val="auto"/>
          <w:sz w:val="24"/>
          <w:szCs w:val="24"/>
          <w:highlight w:val="none"/>
          <w:lang w:val="en-US" w:eastAsia="zh-CN"/>
        </w:rPr>
        <w:t>教育强国</w:t>
      </w:r>
      <w:r>
        <w:rPr>
          <w:rFonts w:hint="eastAsia" w:asciiTheme="minorEastAsia" w:hAnsiTheme="minorEastAsia" w:cstheme="minorEastAsia"/>
          <w:color w:val="auto"/>
          <w:sz w:val="24"/>
          <w:szCs w:val="24"/>
          <w:highlight w:val="none"/>
          <w:lang w:eastAsia="zh-CN"/>
        </w:rPr>
        <w:t>的重要论述，遵循三全育人、五育并举的教育精神，秉承“天道酬勤”的校训和“立德树人，知行合一”的育人理念，探索构建了与应用型人才培养的理念、目标、过程等融合的“一三五七七”文化育人体系，逐步形成“以文育人、启智润心”的文化育人特色，对人才培养发挥着重要的教育作用。</w:t>
      </w:r>
    </w:p>
    <w:p w14:paraId="07A8DDE9">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（一）围绕一个中心任务</w:t>
      </w:r>
    </w:p>
    <w:p w14:paraId="61954D46">
      <w:pPr>
        <w:kinsoku/>
        <w:autoSpaceDE/>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落实立德树人根本任务，致力于培养德智体美劳全面发展的社会主义建设者和接班人。</w:t>
      </w:r>
    </w:p>
    <w:p w14:paraId="299F1AAD">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（二）建立三全育人机制</w:t>
      </w:r>
    </w:p>
    <w:p w14:paraId="6EDCF981">
      <w:pPr>
        <w:kinsoku/>
        <w:autoSpaceDE/>
        <w:autoSpaceDN/>
        <w:adjustRightInd/>
        <w:snapToGrid/>
        <w:spacing w:line="400" w:lineRule="exact"/>
        <w:ind w:firstLine="480" w:firstLineChars="200"/>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全员、全过程、全方位育人。</w:t>
      </w:r>
    </w:p>
    <w:p w14:paraId="5BD3935C">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（三）融入五育教育过程</w:t>
      </w:r>
    </w:p>
    <w:p w14:paraId="343C93C8">
      <w:pPr>
        <w:kinsoku/>
        <w:autoSpaceDE/>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德育、智育、体育、美育、劳动教育与文化浸润融合，相辅相成。</w:t>
      </w:r>
    </w:p>
    <w:p w14:paraId="37D6A43B">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（四）开展“七个一”自我提升教育</w:t>
      </w:r>
    </w:p>
    <w:p w14:paraId="131D7B2C">
      <w:pPr>
        <w:widowControl w:val="0"/>
        <w:kinsoku/>
        <w:autoSpaceDE/>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以学生成长为中心，倡导学生每日阅读、每日抄悟、每日善行、每日劳动、每日运动、每日反思、每日总结，养成良好习惯，不断实现自我提升、自我超越。</w:t>
      </w:r>
    </w:p>
    <w:p w14:paraId="6712464C">
      <w:pPr>
        <w:spacing w:before="120" w:beforeLines="50" w:after="120" w:afterLines="50"/>
        <w:jc w:val="both"/>
        <w:outlineLvl w:val="2"/>
        <w:rPr>
          <w:rFonts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（五）实施七个文化浸润工程</w:t>
      </w:r>
    </w:p>
    <w:p w14:paraId="081B8FC8">
      <w:pPr>
        <w:widowControl w:val="0"/>
        <w:kinsoku/>
        <w:autoSpaceDE/>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弘扬中华优秀传统文化、倡导中医康养与传承中医药文化、强化职业能力文化、培育行为养成及创优导航文化、践行中华体育精神文化、崇尚劳动实践文化、营造幸福力及感恩文化。引导学生努力成为终身学习者、问题解决者、责任担当者、终身运动者、终身奋斗者、优雅生活者、幸福生活创造者，成为德才兼备的高素质应用型人才。</w:t>
      </w:r>
    </w:p>
    <w:p w14:paraId="16E293D1">
      <w:pPr>
        <w:widowControl w:val="0"/>
        <w:kinsoku/>
        <w:autoSpaceDN/>
        <w:adjustRightInd/>
        <w:snapToGrid/>
        <w:spacing w:line="400" w:lineRule="exact"/>
        <w:ind w:firstLine="480" w:firstLineChars="200"/>
        <w:jc w:val="both"/>
        <w:textAlignment w:val="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学校文化浸润工程的实施，在应用型人才培养赋能增效方面发挥出重要作用。学校建校</w:t>
      </w:r>
      <w:r>
        <w:rPr>
          <w:rFonts w:hint="eastAsia" w:asciiTheme="minorEastAsia" w:hAnsiTheme="minorEastAsia" w:eastAsiaTheme="minorEastAsia" w:cstheme="minorEastAsia"/>
          <w:color w:val="auto"/>
          <w:sz w:val="24"/>
          <w:szCs w:val="24"/>
          <w:highlight w:val="none"/>
          <w:lang w:val="en-US" w:eastAsia="zh-CN"/>
        </w:rPr>
        <w:t>32</w:t>
      </w:r>
      <w:r>
        <w:rPr>
          <w:rFonts w:hint="eastAsia" w:asciiTheme="minorEastAsia" w:hAnsiTheme="minorEastAsia" w:eastAsiaTheme="minorEastAsia" w:cstheme="minorEastAsia"/>
          <w:color w:val="auto"/>
          <w:sz w:val="24"/>
          <w:szCs w:val="24"/>
          <w:highlight w:val="none"/>
          <w:lang w:eastAsia="zh-CN"/>
        </w:rPr>
        <w:t>年发展积淀而形成的文化精神，已融入师生员工的道德情操、工作作风和精神追求，深深根植于每个人的思想观念和行为表现，有力支撑了高素质应用型人才培养，促进了学校各项工作的高质量发展。</w:t>
      </w:r>
    </w:p>
    <w:p w14:paraId="5F73C599">
      <w:pPr>
        <w:kinsoku/>
        <w:autoSpaceDE/>
        <w:autoSpaceDN/>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lang w:eastAsia="zh-CN"/>
        </w:rPr>
      </w:pPr>
    </w:p>
    <w:p w14:paraId="27EAF282">
      <w:pPr>
        <w:widowControl w:val="0"/>
        <w:kinsoku/>
        <w:autoSpaceDN/>
        <w:adjustRightInd/>
        <w:snapToGrid/>
        <w:spacing w:line="400" w:lineRule="exact"/>
        <w:ind w:left="0" w:leftChars="0" w:firstLine="0" w:firstLineChars="0"/>
        <w:jc w:val="both"/>
        <w:textAlignment w:val="auto"/>
        <w:rPr>
          <w:rFonts w:asciiTheme="minorEastAsia" w:hAnsiTheme="minorEastAsia" w:eastAsiaTheme="minorEastAsia" w:cstheme="minorEastAsia"/>
          <w:color w:val="auto"/>
          <w:sz w:val="24"/>
          <w:szCs w:val="24"/>
          <w:highlight w:val="none"/>
          <w:lang w:eastAsia="zh-CN"/>
        </w:rPr>
      </w:pPr>
    </w:p>
    <w:p w14:paraId="7E23C071">
      <w:pPr>
        <w:keepNext w:val="0"/>
        <w:keepLines w:val="0"/>
        <w:pageBreakBefore w:val="0"/>
        <w:widowControl/>
        <w:kinsoku/>
        <w:wordWrap/>
        <w:overflowPunct/>
        <w:topLinePunct w:val="0"/>
        <w:autoSpaceDE w:val="0"/>
        <w:autoSpaceDN w:val="0"/>
        <w:bidi w:val="0"/>
        <w:adjustRightInd w:val="0"/>
        <w:snapToGrid w:val="0"/>
        <w:jc w:val="both"/>
        <w:textAlignment w:val="baseline"/>
        <w:rPr>
          <w:rFonts w:ascii="黑体" w:hAnsi="黑体" w:eastAsia="黑体" w:cs="黑体"/>
          <w:bCs/>
          <w:color w:val="auto"/>
          <w:position w:val="14"/>
          <w:sz w:val="30"/>
          <w:szCs w:val="30"/>
          <w:highlight w:val="none"/>
          <w:lang w:eastAsia="zh-CN"/>
        </w:rPr>
      </w:pPr>
      <w:r>
        <w:rPr>
          <w:rFonts w:hint="eastAsia" w:ascii="黑体" w:hAnsi="黑体" w:eastAsia="黑体" w:cs="黑体"/>
          <w:bCs/>
          <w:color w:val="auto"/>
          <w:position w:val="14"/>
          <w:sz w:val="30"/>
          <w:szCs w:val="30"/>
          <w:highlight w:val="none"/>
          <w:lang w:eastAsia="zh-CN"/>
        </w:rPr>
        <w:br w:type="page"/>
      </w:r>
    </w:p>
    <w:p w14:paraId="1199DE99">
      <w:pPr>
        <w:kinsoku/>
        <w:spacing w:before="120" w:beforeLines="50" w:after="120" w:afterLines="50"/>
        <w:jc w:val="both"/>
        <w:outlineLvl w:val="0"/>
        <w:rPr>
          <w:rFonts w:ascii="黑体" w:hAnsi="黑体" w:eastAsia="黑体" w:cs="黑体"/>
          <w:b/>
          <w:bCs/>
          <w:color w:val="auto"/>
          <w:position w:val="14"/>
          <w:sz w:val="36"/>
          <w:szCs w:val="36"/>
          <w:highlight w:val="none"/>
          <w:lang w:eastAsia="zh-CN"/>
        </w:rPr>
      </w:pPr>
      <w:bookmarkStart w:id="81" w:name="_Toc26589"/>
      <w:r>
        <w:rPr>
          <w:rFonts w:hint="eastAsia" w:ascii="黑体" w:hAnsi="黑体" w:eastAsia="黑体" w:cs="黑体"/>
          <w:bCs/>
          <w:color w:val="auto"/>
          <w:position w:val="14"/>
          <w:sz w:val="30"/>
          <w:szCs w:val="30"/>
          <w:highlight w:val="none"/>
          <w:lang w:eastAsia="zh-CN"/>
        </w:rPr>
        <w:t>第八部分 需要解决的问题</w:t>
      </w:r>
      <w:bookmarkEnd w:id="81"/>
    </w:p>
    <w:p w14:paraId="4A4FD4E9">
      <w:pPr>
        <w:spacing w:before="120" w:beforeLines="50" w:after="120" w:afterLines="50"/>
        <w:jc w:val="both"/>
        <w:outlineLvl w:val="1"/>
        <w:rPr>
          <w:rFonts w:hint="default" w:ascii="黑体" w:hAnsi="黑体" w:eastAsia="黑体" w:cs="黑体"/>
          <w:sz w:val="28"/>
          <w:szCs w:val="28"/>
          <w:highlight w:val="none"/>
          <w:lang w:val="en-US" w:eastAsia="zh-CN"/>
        </w:rPr>
      </w:pPr>
      <w:bookmarkStart w:id="82" w:name="_Toc1731"/>
      <w:bookmarkStart w:id="83" w:name="_Toc13645"/>
      <w:r>
        <w:rPr>
          <w:rFonts w:hint="eastAsia" w:ascii="黑体" w:hAnsi="黑体" w:eastAsia="黑体" w:cs="黑体"/>
          <w:sz w:val="28"/>
          <w:szCs w:val="28"/>
          <w:highlight w:val="none"/>
          <w:lang w:val="en-US" w:eastAsia="zh-CN"/>
        </w:rPr>
        <w:t>一</w:t>
      </w:r>
      <w:r>
        <w:rPr>
          <w:rFonts w:hint="eastAsia" w:ascii="黑体" w:hAnsi="黑体" w:eastAsia="黑体" w:cs="黑体"/>
          <w:sz w:val="28"/>
          <w:szCs w:val="28"/>
          <w:highlight w:val="none"/>
          <w:lang w:eastAsia="zh-CN"/>
        </w:rPr>
        <w:t>、专业建设</w:t>
      </w:r>
      <w:bookmarkEnd w:id="82"/>
      <w:r>
        <w:rPr>
          <w:rFonts w:hint="eastAsia" w:ascii="黑体" w:hAnsi="黑体" w:eastAsia="黑体" w:cs="黑体"/>
          <w:sz w:val="28"/>
          <w:szCs w:val="28"/>
          <w:highlight w:val="none"/>
          <w:lang w:val="en-US" w:eastAsia="zh-CN"/>
        </w:rPr>
        <w:t>力度不大</w:t>
      </w:r>
    </w:p>
    <w:p w14:paraId="59D1F9CF">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专业内涵建设的深度不够、优质课程资源数量偏少。主要原因是新专业的建设基础较为薄弱、高水平课程建设的能力不足。针对以上问题，学校将从两方面采取有效措施，</w:t>
      </w:r>
      <w:r>
        <w:rPr>
          <w:rFonts w:hint="eastAsia" w:ascii="宋体" w:hAnsi="宋体" w:eastAsia="宋体" w:cs="宋体"/>
          <w:sz w:val="24"/>
          <w:szCs w:val="24"/>
          <w:highlight w:val="none"/>
          <w:lang w:val="en-US" w:eastAsia="zh-CN"/>
        </w:rPr>
        <w:t>进一步加大专业建设力度，</w:t>
      </w:r>
      <w:r>
        <w:rPr>
          <w:rFonts w:hint="eastAsia" w:ascii="宋体" w:hAnsi="宋体" w:eastAsia="宋体" w:cs="宋体"/>
          <w:sz w:val="24"/>
          <w:szCs w:val="24"/>
          <w:highlight w:val="none"/>
          <w:lang w:eastAsia="zh-CN"/>
        </w:rPr>
        <w:t>积极改进。</w:t>
      </w:r>
    </w:p>
    <w:p w14:paraId="4A590E93">
      <w:pPr>
        <w:spacing w:line="400" w:lineRule="exact"/>
        <w:ind w:firstLine="480" w:firstLineChars="200"/>
        <w:jc w:val="both"/>
        <w:rPr>
          <w:rFonts w:hint="eastAsia" w:ascii="宋体" w:hAnsi="宋体" w:eastAsia="宋体" w:cs="宋体"/>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一</w:t>
      </w:r>
      <w:r>
        <w:rPr>
          <w:rFonts w:hint="eastAsia" w:ascii="楷体" w:hAnsi="楷体" w:eastAsia="楷体" w:cs="楷体"/>
          <w:color w:val="auto"/>
          <w:sz w:val="24"/>
          <w:szCs w:val="24"/>
          <w:highlight w:val="none"/>
          <w:lang w:eastAsia="zh-CN"/>
        </w:rPr>
        <w:t>）实施专业建设提升工程，优化结构并打造特色</w:t>
      </w:r>
    </w:p>
    <w:p w14:paraId="6758AE59">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主动对接国家战略与区域发展需求，优化专业布局。重点加强人工智能、大数据、智能制造等新兴专业建设，推动传统专业升级改造，并依据专业监测数据完善预警与动态调整机制。着力构建专业集群，围绕区域产业集群，整合形成医养健康、交通汽车等八大专业集群，促进教育链、人才链、创新链、产业链深度融合。强化专业内涵建设，对标一流专业标准与认证要求，重点推进护理学、计算机科学与技术等省级一流专业建设点的建设工作，发挥其示范引领作用，带动专业建设水平整体提升。</w:t>
      </w:r>
    </w:p>
    <w:p w14:paraId="7C9252E6">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二</w:t>
      </w:r>
      <w:r>
        <w:rPr>
          <w:rFonts w:hint="eastAsia" w:ascii="楷体" w:hAnsi="楷体" w:eastAsia="楷体" w:cs="楷体"/>
          <w:color w:val="auto"/>
          <w:sz w:val="24"/>
          <w:szCs w:val="24"/>
          <w:highlight w:val="none"/>
          <w:lang w:eastAsia="zh-CN"/>
        </w:rPr>
        <w:t>）加大课程建设力度，系统性打造高水平课程资源</w:t>
      </w:r>
    </w:p>
    <w:p w14:paraId="31C81F8C">
      <w:pPr>
        <w:spacing w:line="400" w:lineRule="exac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完善政策支持，加大投入，</w:t>
      </w:r>
      <w:r>
        <w:rPr>
          <w:rFonts w:hint="eastAsia" w:ascii="宋体" w:hAnsi="宋体" w:eastAsia="宋体" w:cs="宋体"/>
          <w:sz w:val="24"/>
          <w:szCs w:val="24"/>
          <w:highlight w:val="none"/>
          <w:lang w:val="en-US" w:eastAsia="zh-CN"/>
        </w:rPr>
        <w:t>优化</w:t>
      </w:r>
      <w:r>
        <w:rPr>
          <w:rFonts w:hint="eastAsia" w:ascii="宋体" w:hAnsi="宋体" w:eastAsia="宋体" w:cs="宋体"/>
          <w:sz w:val="24"/>
          <w:szCs w:val="24"/>
          <w:highlight w:val="none"/>
          <w:lang w:eastAsia="zh-CN"/>
        </w:rPr>
        <w:t>以能力培养为核心的课程体系。重点建设一批优质的专业核心课、创新创业课程</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lang w:eastAsia="zh-CN"/>
        </w:rPr>
        <w:t>通识课</w:t>
      </w:r>
      <w:r>
        <w:rPr>
          <w:rFonts w:hint="eastAsia" w:ascii="宋体" w:hAnsi="宋体" w:eastAsia="宋体" w:cs="宋体"/>
          <w:sz w:val="24"/>
          <w:szCs w:val="24"/>
          <w:highlight w:val="none"/>
          <w:lang w:val="en-US" w:eastAsia="zh-CN"/>
        </w:rPr>
        <w:t>程</w:t>
      </w:r>
      <w:r>
        <w:rPr>
          <w:rFonts w:hint="eastAsia" w:ascii="宋体" w:hAnsi="宋体" w:eastAsia="宋体" w:cs="宋体"/>
          <w:sz w:val="24"/>
          <w:szCs w:val="24"/>
          <w:highlight w:val="none"/>
          <w:lang w:eastAsia="zh-CN"/>
        </w:rPr>
        <w:t>。着力提升教师的课程开发与建设能力，通过邀请专家培训、外派学习等方式强化师资培训。推动校企协同，组建高水平课程团队，联合行业专家共同开发应用型课程与教材，鼓励教师引入产业新技术、新标准及真实案例更新教学内容。全面推进课程思政建设，深度挖掘专业课程中的育人元素，构建覆盖全面、层次清晰、有机融合的课程思政教学体系。</w:t>
      </w:r>
    </w:p>
    <w:p w14:paraId="7565DCDC">
      <w:pPr>
        <w:spacing w:before="120" w:beforeLines="50" w:after="120" w:afterLines="50"/>
        <w:jc w:val="both"/>
        <w:outlineLvl w:val="1"/>
        <w:rPr>
          <w:rFonts w:hint="default"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二</w:t>
      </w:r>
      <w:r>
        <w:rPr>
          <w:rFonts w:hint="eastAsia" w:ascii="黑体" w:hAnsi="黑体" w:eastAsia="黑体" w:cs="黑体"/>
          <w:sz w:val="28"/>
          <w:szCs w:val="28"/>
          <w:highlight w:val="none"/>
          <w:lang w:eastAsia="zh-CN"/>
        </w:rPr>
        <w:t>、师资</w:t>
      </w:r>
      <w:bookmarkEnd w:id="83"/>
      <w:r>
        <w:rPr>
          <w:rFonts w:hint="eastAsia" w:ascii="黑体" w:hAnsi="黑体" w:eastAsia="黑体" w:cs="黑体"/>
          <w:sz w:val="28"/>
          <w:szCs w:val="28"/>
          <w:highlight w:val="none"/>
          <w:lang w:val="en-US" w:eastAsia="zh-CN"/>
        </w:rPr>
        <w:t>结构不够合理</w:t>
      </w:r>
    </w:p>
    <w:p w14:paraId="4A03F2DD">
      <w:pPr>
        <w:spacing w:line="4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专任教师结构不尽合理，高职称教师比例偏低、青年教师占比过高。主要原因是高层次人才引育与培养体系不完善、激励机制与评价导向有待优化、师资队伍建设未能及时满足学校快速发展的要求。</w:t>
      </w:r>
      <w:r>
        <w:rPr>
          <w:rFonts w:hint="eastAsia" w:ascii="宋体" w:hAnsi="宋体" w:eastAsia="宋体" w:cs="宋体"/>
          <w:sz w:val="24"/>
          <w:szCs w:val="24"/>
          <w:highlight w:val="none"/>
          <w:lang w:eastAsia="zh-CN"/>
        </w:rPr>
        <w:t>针对以上问题，学校将从</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方面采取有效措施，</w:t>
      </w:r>
      <w:r>
        <w:rPr>
          <w:rFonts w:hint="eastAsia" w:ascii="宋体" w:hAnsi="宋体" w:eastAsia="宋体" w:cs="宋体"/>
          <w:sz w:val="24"/>
          <w:szCs w:val="24"/>
          <w:highlight w:val="none"/>
          <w:lang w:val="en-US" w:eastAsia="zh-CN"/>
        </w:rPr>
        <w:t>优化师资结构，</w:t>
      </w:r>
      <w:r>
        <w:rPr>
          <w:rFonts w:hint="eastAsia" w:ascii="宋体" w:hAnsi="宋体" w:eastAsia="宋体" w:cs="宋体"/>
          <w:sz w:val="24"/>
          <w:szCs w:val="24"/>
          <w:highlight w:val="none"/>
          <w:lang w:eastAsia="zh-CN"/>
        </w:rPr>
        <w:t>积极改进。</w:t>
      </w:r>
    </w:p>
    <w:p w14:paraId="18B2F89C">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一</w:t>
      </w:r>
      <w:r>
        <w:rPr>
          <w:rFonts w:hint="eastAsia" w:ascii="楷体" w:hAnsi="楷体" w:eastAsia="楷体" w:cs="楷体"/>
          <w:color w:val="auto"/>
          <w:sz w:val="24"/>
          <w:szCs w:val="24"/>
          <w:highlight w:val="none"/>
          <w:lang w:eastAsia="zh-CN"/>
        </w:rPr>
        <w:t>）实施专项计划，优化师资结构</w:t>
      </w:r>
    </w:p>
    <w:p w14:paraId="79095658">
      <w:pPr>
        <w:spacing w:line="40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设立高层次人才引进专项资金，精准引进高级职称学科带头人、教学名师及行业领军人才。同时建立校内“职称提升支持计划”，为有潜力的中级职称教师提供科研启动、团队支持与定向指导，助其尽快晋升。积极从企业一线引进实践经验丰富的应用型人才，提高“双师双能型”教师比例，强化实践教学能力。</w:t>
      </w:r>
    </w:p>
    <w:p w14:paraId="767F97C8">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二</w:t>
      </w:r>
      <w:r>
        <w:rPr>
          <w:rFonts w:hint="eastAsia" w:ascii="楷体" w:hAnsi="楷体" w:eastAsia="楷体" w:cs="楷体"/>
          <w:color w:val="auto"/>
          <w:sz w:val="24"/>
          <w:szCs w:val="24"/>
          <w:highlight w:val="none"/>
          <w:lang w:eastAsia="zh-CN"/>
        </w:rPr>
        <w:t>）完善成长体系，加速青年成才</w:t>
      </w:r>
    </w:p>
    <w:p w14:paraId="138711F2">
      <w:pPr>
        <w:spacing w:line="40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深化“青年教师导师制”，加强过程管理与考核，并将导师</w:t>
      </w:r>
      <w:r>
        <w:rPr>
          <w:rFonts w:hint="eastAsia" w:ascii="宋体" w:hAnsi="宋体" w:eastAsia="宋体" w:cs="宋体"/>
          <w:color w:val="auto"/>
          <w:sz w:val="24"/>
          <w:szCs w:val="24"/>
          <w:highlight w:val="none"/>
          <w:lang w:val="en-US" w:eastAsia="zh-CN"/>
        </w:rPr>
        <w:t>指导</w:t>
      </w:r>
      <w:r>
        <w:rPr>
          <w:rFonts w:hint="eastAsia" w:ascii="宋体" w:hAnsi="宋体" w:eastAsia="宋体" w:cs="宋体"/>
          <w:color w:val="auto"/>
          <w:sz w:val="24"/>
          <w:szCs w:val="24"/>
          <w:highlight w:val="none"/>
          <w:lang w:eastAsia="zh-CN"/>
        </w:rPr>
        <w:t>成效纳入绩效，确保传帮带落到实处。强化教师发展中心职能，系统规划培养培训，指导青年教师做好职业发展规划。依托教学沙龙、名师工作室等平台开展多样活动。实施“青年教师能力攀升计划”，通过教学竞赛、项目孵化和课程专项等方式，为其搭建展示与成长的平台。</w:t>
      </w:r>
    </w:p>
    <w:p w14:paraId="15896AB4">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三</w:t>
      </w:r>
      <w:r>
        <w:rPr>
          <w:rFonts w:hint="eastAsia" w:ascii="楷体" w:hAnsi="楷体" w:eastAsia="楷体" w:cs="楷体"/>
          <w:color w:val="auto"/>
          <w:sz w:val="24"/>
          <w:szCs w:val="24"/>
          <w:highlight w:val="none"/>
          <w:lang w:eastAsia="zh-CN"/>
        </w:rPr>
        <w:t>）优化评价激励，激发内生动力</w:t>
      </w:r>
    </w:p>
    <w:p w14:paraId="40333D15">
      <w:pPr>
        <w:spacing w:line="4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完善职称评审制度，突出教学业绩、实践贡献与专业发展成果，构建多元化评价体系。设立“教学成果奖”“教学质量奖”等专项奖励，表彰各领域表现突出的教师，树立鲜明导向。在岗位聘任、绩效分配、资源申请等方面，进一步向高水平成果产出者及团队建设贡献者倾斜。</w:t>
      </w:r>
    </w:p>
    <w:p w14:paraId="1B15C164">
      <w:pPr>
        <w:spacing w:before="120" w:beforeLines="50" w:after="120" w:afterLines="50"/>
        <w:jc w:val="both"/>
        <w:outlineLvl w:val="1"/>
        <w:rPr>
          <w:rFonts w:hint="default" w:ascii="黑体" w:hAnsi="黑体" w:eastAsia="黑体" w:cs="黑体"/>
          <w:sz w:val="28"/>
          <w:szCs w:val="28"/>
          <w:highlight w:val="none"/>
          <w:lang w:val="en-US" w:eastAsia="zh-CN"/>
        </w:rPr>
      </w:pPr>
      <w:bookmarkStart w:id="84" w:name="_Toc22011"/>
      <w:r>
        <w:rPr>
          <w:rFonts w:hint="eastAsia" w:ascii="黑体" w:hAnsi="黑体" w:eastAsia="黑体" w:cs="黑体"/>
          <w:sz w:val="28"/>
          <w:szCs w:val="28"/>
          <w:highlight w:val="none"/>
          <w:lang w:eastAsia="zh-CN"/>
        </w:rPr>
        <w:t>三、产学研合作</w:t>
      </w:r>
      <w:bookmarkEnd w:id="84"/>
      <w:r>
        <w:rPr>
          <w:rFonts w:hint="eastAsia" w:ascii="黑体" w:hAnsi="黑体" w:eastAsia="黑体" w:cs="黑体"/>
          <w:sz w:val="28"/>
          <w:szCs w:val="28"/>
          <w:highlight w:val="none"/>
          <w:lang w:val="en-US" w:eastAsia="zh-CN"/>
        </w:rPr>
        <w:t>教育不够深入</w:t>
      </w:r>
    </w:p>
    <w:p w14:paraId="0A5D56BB">
      <w:pPr>
        <w:spacing w:line="4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产学研合作教育的广度和深度不够、专业间产学研合作教育发展不平衡、产学研合作教育尚未形成良性互动。主要原因是产学研合作教育的认识及经验不足、部分专业产学研合作教育研究和实践不深、教师服务地方经济社会发展的能力不强。针对以上问题，学校将从三方面采取有效措施，积极改进。</w:t>
      </w:r>
    </w:p>
    <w:p w14:paraId="204449F5">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一</w:t>
      </w:r>
      <w:r>
        <w:rPr>
          <w:rFonts w:hint="eastAsia" w:ascii="楷体" w:hAnsi="楷体" w:eastAsia="楷体" w:cs="楷体"/>
          <w:color w:val="auto"/>
          <w:sz w:val="24"/>
          <w:szCs w:val="24"/>
          <w:highlight w:val="none"/>
          <w:lang w:eastAsia="zh-CN"/>
        </w:rPr>
        <w:t>）完善体制机制，共建协同育人平台</w:t>
      </w:r>
    </w:p>
    <w:p w14:paraId="0A6D96B3">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学校将健全合作制度，在资源上给予稳定支持，着力推进实体化运行的现代产业学院建设。</w:t>
      </w:r>
      <w:r>
        <w:rPr>
          <w:rFonts w:hint="eastAsia" w:ascii="宋体" w:hAnsi="宋体" w:eastAsia="宋体" w:cs="宋体"/>
          <w:sz w:val="24"/>
          <w:szCs w:val="24"/>
          <w:highlight w:val="none"/>
          <w:lang w:val="en-US" w:eastAsia="zh-CN"/>
        </w:rPr>
        <w:t>挖掘</w:t>
      </w:r>
      <w:r>
        <w:rPr>
          <w:rFonts w:hint="eastAsia" w:ascii="宋体" w:hAnsi="宋体" w:eastAsia="宋体" w:cs="宋体"/>
          <w:color w:val="auto"/>
          <w:sz w:val="24"/>
          <w:szCs w:val="24"/>
          <w:highlight w:val="none"/>
          <w:lang w:eastAsia="zh-CN"/>
        </w:rPr>
        <w:t>学校、企业、科研机构</w:t>
      </w:r>
      <w:r>
        <w:rPr>
          <w:rFonts w:hint="eastAsia" w:ascii="宋体" w:hAnsi="宋体" w:eastAsia="宋体" w:cs="宋体"/>
          <w:sz w:val="24"/>
          <w:szCs w:val="24"/>
          <w:highlight w:val="none"/>
          <w:lang w:eastAsia="zh-CN"/>
        </w:rPr>
        <w:t>多方资源，构建培养目标、师资队伍、技术资源、运行管理“四通”的协同育人机制。同时，学校将积极参与各类产教融合平台建设，促进“四链”深度融合，并</w:t>
      </w:r>
      <w:r>
        <w:rPr>
          <w:rFonts w:hint="eastAsia" w:ascii="宋体" w:hAnsi="宋体" w:eastAsia="宋体" w:cs="宋体"/>
          <w:sz w:val="24"/>
          <w:szCs w:val="24"/>
          <w:highlight w:val="none"/>
          <w:lang w:val="en-US" w:eastAsia="zh-CN"/>
        </w:rPr>
        <w:t>组织</w:t>
      </w:r>
      <w:r>
        <w:rPr>
          <w:rFonts w:hint="eastAsia" w:ascii="宋体" w:hAnsi="宋体" w:eastAsia="宋体" w:cs="宋体"/>
          <w:sz w:val="24"/>
          <w:szCs w:val="24"/>
          <w:highlight w:val="none"/>
          <w:lang w:eastAsia="zh-CN"/>
        </w:rPr>
        <w:t>二级学院</w:t>
      </w:r>
      <w:r>
        <w:rPr>
          <w:rFonts w:hint="eastAsia" w:ascii="宋体" w:hAnsi="宋体" w:eastAsia="宋体" w:cs="宋体"/>
          <w:sz w:val="24"/>
          <w:szCs w:val="24"/>
          <w:highlight w:val="none"/>
          <w:lang w:val="en-US" w:eastAsia="zh-CN"/>
        </w:rPr>
        <w:t>积极申报省级现代</w:t>
      </w:r>
      <w:r>
        <w:rPr>
          <w:rFonts w:hint="eastAsia" w:ascii="宋体" w:hAnsi="宋体" w:eastAsia="宋体" w:cs="宋体"/>
          <w:sz w:val="24"/>
          <w:szCs w:val="24"/>
          <w:highlight w:val="none"/>
          <w:lang w:eastAsia="zh-CN"/>
        </w:rPr>
        <w:t>产业学院，统筹推进人才培养供给侧与产业需求侧的全方位对接。</w:t>
      </w:r>
    </w:p>
    <w:p w14:paraId="404A3299">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二</w:t>
      </w:r>
      <w:r>
        <w:rPr>
          <w:rFonts w:hint="eastAsia" w:ascii="楷体" w:hAnsi="楷体" w:eastAsia="楷体" w:cs="楷体"/>
          <w:color w:val="auto"/>
          <w:sz w:val="24"/>
          <w:szCs w:val="24"/>
          <w:highlight w:val="none"/>
          <w:lang w:eastAsia="zh-CN"/>
        </w:rPr>
        <w:t>）更新理念深化研究，拓展多元合作路径</w:t>
      </w:r>
    </w:p>
    <w:p w14:paraId="139F4581">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学校将通过专题学习、企业实践等方式，强化干部教师对产学研合作育人战略意义的认同。加强合作教育模式研究，积极探索</w:t>
      </w:r>
      <w:r>
        <w:rPr>
          <w:rFonts w:hint="eastAsia" w:ascii="宋体" w:hAnsi="宋体" w:eastAsia="宋体" w:cs="宋体"/>
          <w:sz w:val="24"/>
          <w:szCs w:val="24"/>
          <w:highlight w:val="none"/>
          <w:lang w:val="en-US" w:eastAsia="zh-CN"/>
        </w:rPr>
        <w:t>各</w:t>
      </w:r>
      <w:r>
        <w:rPr>
          <w:rFonts w:hint="eastAsia" w:ascii="宋体" w:hAnsi="宋体" w:eastAsia="宋体" w:cs="宋体"/>
          <w:sz w:val="24"/>
          <w:szCs w:val="24"/>
          <w:highlight w:val="none"/>
          <w:lang w:eastAsia="zh-CN"/>
        </w:rPr>
        <w:t>专业的有效实施路径。实施“一专业一深度合作企业”计划，推动各专业与企业共同制定培养方案、共享师资、共建基地、共促就业，实现办学、育人、就业、发展的全程深度协同。</w:t>
      </w:r>
    </w:p>
    <w:p w14:paraId="011D7F6C">
      <w:pPr>
        <w:spacing w:line="400" w:lineRule="exact"/>
        <w:ind w:firstLine="480" w:firstLineChars="200"/>
        <w:jc w:val="both"/>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三</w:t>
      </w:r>
      <w:r>
        <w:rPr>
          <w:rFonts w:hint="eastAsia" w:ascii="楷体" w:hAnsi="楷体" w:eastAsia="楷体" w:cs="楷体"/>
          <w:color w:val="auto"/>
          <w:sz w:val="24"/>
          <w:szCs w:val="24"/>
          <w:highlight w:val="none"/>
          <w:lang w:eastAsia="zh-CN"/>
        </w:rPr>
        <w:t>）聚焦区域需求，提升服务与转化能力</w:t>
      </w:r>
    </w:p>
    <w:p w14:paraId="5695812E">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坚持科研以应用和开发为主，主动服务山东及济南重点产业发展战略。聚焦企业“卡脖子”技术与共性难题，组织开展有组织的协同攻关，促进科技成果转化。学校将加强自身应用研究能力建设，并以护理、药学等优势专业为试点，打造服务地方产业的品牌，形成示范性产学研合作专业群。引导教师面向产业实际需求开展应用研究和技术服务，提升科研反哺教学、支撑发展的能力。</w:t>
      </w:r>
    </w:p>
    <w:p w14:paraId="4E97946E">
      <w:pPr>
        <w:spacing w:before="120" w:beforeLines="50" w:after="120" w:afterLines="50"/>
        <w:jc w:val="both"/>
        <w:outlineLvl w:val="1"/>
        <w:rPr>
          <w:rFonts w:hint="default" w:ascii="黑体" w:hAnsi="黑体" w:eastAsia="黑体" w:cs="黑体"/>
          <w:sz w:val="28"/>
          <w:szCs w:val="28"/>
          <w:highlight w:val="none"/>
          <w:lang w:val="en-US" w:eastAsia="zh-CN"/>
        </w:rPr>
      </w:pPr>
      <w:bookmarkStart w:id="85" w:name="_Toc23099"/>
      <w:r>
        <w:rPr>
          <w:rFonts w:hint="eastAsia" w:ascii="黑体" w:hAnsi="黑体" w:eastAsia="黑体" w:cs="黑体"/>
          <w:sz w:val="28"/>
          <w:szCs w:val="28"/>
          <w:highlight w:val="none"/>
          <w:lang w:eastAsia="zh-CN"/>
        </w:rPr>
        <w:t>四、创新创业教育</w:t>
      </w:r>
      <w:bookmarkEnd w:id="85"/>
      <w:r>
        <w:rPr>
          <w:rFonts w:hint="eastAsia" w:ascii="黑体" w:hAnsi="黑体" w:eastAsia="黑体" w:cs="黑体"/>
          <w:sz w:val="28"/>
          <w:szCs w:val="28"/>
          <w:highlight w:val="none"/>
          <w:lang w:val="en-US" w:eastAsia="zh-CN"/>
        </w:rPr>
        <w:t>体系不够完善</w:t>
      </w:r>
    </w:p>
    <w:p w14:paraId="0F8A1CA5">
      <w:pPr>
        <w:spacing w:line="40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创新创业教育体系还不够完善、教师创新创业教育能力不强、高水平创新创业项目数量较少。主要原因是创新创业教育</w:t>
      </w:r>
      <w:r>
        <w:rPr>
          <w:rFonts w:hint="eastAsia" w:ascii="宋体" w:hAnsi="宋体" w:eastAsia="宋体" w:cs="宋体"/>
          <w:color w:val="auto"/>
          <w:sz w:val="24"/>
          <w:szCs w:val="24"/>
          <w:highlight w:val="none"/>
          <w:lang w:val="en-US" w:eastAsia="zh-CN"/>
        </w:rPr>
        <w:t>运行</w:t>
      </w:r>
      <w:r>
        <w:rPr>
          <w:rFonts w:hint="eastAsia" w:ascii="宋体" w:hAnsi="宋体" w:eastAsia="宋体" w:cs="宋体"/>
          <w:color w:val="auto"/>
          <w:sz w:val="24"/>
          <w:szCs w:val="24"/>
          <w:highlight w:val="none"/>
          <w:lang w:eastAsia="zh-CN"/>
        </w:rPr>
        <w:t>机制还</w:t>
      </w:r>
      <w:r>
        <w:rPr>
          <w:rFonts w:hint="eastAsia" w:ascii="宋体" w:hAnsi="宋体" w:eastAsia="宋体" w:cs="宋体"/>
          <w:color w:val="auto"/>
          <w:sz w:val="24"/>
          <w:szCs w:val="24"/>
          <w:highlight w:val="none"/>
          <w:lang w:val="en-US" w:eastAsia="zh-CN"/>
        </w:rPr>
        <w:t>没有真正建立起来</w:t>
      </w:r>
      <w:r>
        <w:rPr>
          <w:rFonts w:hint="eastAsia" w:ascii="宋体" w:hAnsi="宋体" w:eastAsia="宋体" w:cs="宋体"/>
          <w:color w:val="auto"/>
          <w:sz w:val="24"/>
          <w:szCs w:val="24"/>
          <w:highlight w:val="none"/>
          <w:lang w:eastAsia="zh-CN"/>
        </w:rPr>
        <w:t>、创新创业教育指导教师实践经验不足、创新创业实践平台支撑力度不够。针对以上问题，学校将从三方面采取有效措施，积极改进。</w:t>
      </w:r>
    </w:p>
    <w:p w14:paraId="570EB3FE">
      <w:pPr>
        <w:spacing w:line="400" w:lineRule="exact"/>
        <w:ind w:firstLine="480" w:firstLineChars="200"/>
        <w:jc w:val="both"/>
        <w:rPr>
          <w:rFonts w:hint="eastAsia" w:ascii="宋体" w:hAnsi="宋体" w:eastAsia="宋体" w:cs="宋体"/>
          <w:b/>
          <w:bCs/>
          <w:color w:val="auto"/>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一</w:t>
      </w:r>
      <w:r>
        <w:rPr>
          <w:rFonts w:hint="eastAsia" w:ascii="楷体" w:hAnsi="楷体" w:eastAsia="楷体" w:cs="楷体"/>
          <w:color w:val="auto"/>
          <w:sz w:val="24"/>
          <w:szCs w:val="24"/>
          <w:highlight w:val="none"/>
          <w:lang w:eastAsia="zh-CN"/>
        </w:rPr>
        <w:t>）健全配套制度体系，夯实双创教育制度保障</w:t>
      </w:r>
    </w:p>
    <w:p w14:paraId="1D6AD98A">
      <w:pPr>
        <w:spacing w:line="40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修订双创教育、大创项目、竞赛奖励等管理制度，理顺部门协同机制。将教师竞赛指导成果计入工作量，挂钩绩效与职称评审，落实学生竞赛奖励。优化实验人员队伍，鼓励开设创新实验项目，建立学生进课题组考核机制。落实全程学业导师制，常态化开展科研技能辅导。完善双创学分转换制度，依托学分激励，引导广大学生主动参与各类创新创业实践活动。</w:t>
      </w:r>
    </w:p>
    <w:p w14:paraId="19D71748">
      <w:pPr>
        <w:spacing w:line="400" w:lineRule="exact"/>
        <w:ind w:firstLine="480" w:firstLineChars="200"/>
        <w:jc w:val="both"/>
        <w:rPr>
          <w:rFonts w:hint="eastAsia" w:ascii="宋体" w:hAnsi="宋体" w:eastAsia="宋体" w:cs="宋体"/>
          <w:sz w:val="24"/>
          <w:szCs w:val="24"/>
          <w:highlight w:val="none"/>
          <w:lang w:eastAsia="zh-CN"/>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二</w:t>
      </w:r>
      <w:r>
        <w:rPr>
          <w:rFonts w:hint="eastAsia" w:ascii="楷体" w:hAnsi="楷体" w:eastAsia="楷体" w:cs="楷体"/>
          <w:color w:val="auto"/>
          <w:sz w:val="24"/>
          <w:szCs w:val="24"/>
          <w:highlight w:val="none"/>
          <w:lang w:eastAsia="zh-CN"/>
        </w:rPr>
        <w:t>）分层分类培育师资，增强双创指导综合实力</w:t>
      </w:r>
    </w:p>
    <w:p w14:paraId="7C6E3D1D">
      <w:pPr>
        <w:spacing w:line="400" w:lineRule="exact"/>
        <w:ind w:firstLine="480" w:firstLineChars="200"/>
        <w:jc w:val="both"/>
        <w:rPr>
          <w:rFonts w:ascii="宋体" w:hAnsi="宋体" w:eastAsia="宋体" w:cs="宋体"/>
          <w:snapToGrid w:val="0"/>
          <w:color w:val="000000"/>
          <w:kern w:val="0"/>
          <w:sz w:val="24"/>
          <w:szCs w:val="24"/>
          <w:highlight w:val="none"/>
          <w:lang w:val="en-US" w:eastAsia="zh-CN" w:bidi="ar"/>
        </w:rPr>
      </w:pPr>
      <w:r>
        <w:rPr>
          <w:rFonts w:ascii="宋体" w:hAnsi="宋体" w:eastAsia="宋体" w:cs="宋体"/>
          <w:snapToGrid w:val="0"/>
          <w:color w:val="000000"/>
          <w:kern w:val="0"/>
          <w:sz w:val="24"/>
          <w:szCs w:val="24"/>
          <w:highlight w:val="none"/>
          <w:lang w:val="en-US" w:eastAsia="zh-CN" w:bidi="ar"/>
        </w:rPr>
        <w:t>常态化开展双创专题培训，组织教师考取SYB讲师、创业咨询师等资质。落实教师企业挂职制度，积累一线实操经验。设立双创教改专项课题，深化教育理论研究。推进有组织应用型科研，以科研提升竞赛指导水平。坚持引育并举，配齐校内专职双创教师，聘请行业企业专家担任校外导师，组建校企双师团队，协同开展竞赛与项目指导，持续优化双创导师队伍专业化水平。</w:t>
      </w:r>
    </w:p>
    <w:p w14:paraId="51174A6F">
      <w:pPr>
        <w:spacing w:line="400" w:lineRule="exact"/>
        <w:ind w:firstLine="480" w:firstLineChars="200"/>
        <w:jc w:val="both"/>
        <w:rPr>
          <w:rFonts w:ascii="宋体" w:hAnsi="宋体" w:eastAsia="宋体" w:cs="宋体"/>
          <w:snapToGrid w:val="0"/>
          <w:color w:val="000000"/>
          <w:kern w:val="0"/>
          <w:sz w:val="24"/>
          <w:szCs w:val="24"/>
          <w:highlight w:val="none"/>
          <w:lang w:val="en-US" w:eastAsia="zh-CN" w:bidi="ar"/>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三</w:t>
      </w:r>
      <w:r>
        <w:rPr>
          <w:rFonts w:hint="eastAsia" w:ascii="楷体" w:hAnsi="楷体" w:eastAsia="楷体" w:cs="楷体"/>
          <w:color w:val="auto"/>
          <w:sz w:val="24"/>
          <w:szCs w:val="24"/>
          <w:highlight w:val="none"/>
          <w:lang w:eastAsia="zh-CN"/>
        </w:rPr>
        <w:t>）统筹平台资源建设，搭建全链条双创实践载体</w:t>
      </w:r>
    </w:p>
    <w:p w14:paraId="036B21C9">
      <w:pPr>
        <w:spacing w:line="400" w:lineRule="exact"/>
        <w:ind w:firstLine="480" w:firstLineChars="200"/>
        <w:jc w:val="both"/>
        <w:rPr>
          <w:rFonts w:hint="eastAsia" w:ascii="宋体" w:hAnsi="宋体" w:eastAsia="宋体" w:cs="宋体"/>
          <w:snapToGrid w:val="0"/>
          <w:color w:val="000000"/>
          <w:kern w:val="0"/>
          <w:sz w:val="24"/>
          <w:szCs w:val="24"/>
          <w:highlight w:val="none"/>
          <w:lang w:val="en-US" w:eastAsia="zh-CN" w:bidi="ar"/>
        </w:rPr>
      </w:pPr>
      <w:r>
        <w:rPr>
          <w:rFonts w:ascii="宋体" w:hAnsi="宋体" w:eastAsia="宋体" w:cs="宋体"/>
          <w:snapToGrid w:val="0"/>
          <w:color w:val="000000"/>
          <w:kern w:val="0"/>
          <w:sz w:val="24"/>
          <w:szCs w:val="24"/>
          <w:highlight w:val="none"/>
          <w:lang w:val="en-US" w:eastAsia="zh-CN" w:bidi="ar"/>
        </w:rPr>
        <w:t>升级双创中心，新建校内工作室与校外实践基地，孵化优质科创项目。做实双创学院建设，推进双创教育与专业、就业教育深度融合，落实课创、课赛结合，构建全链条人才培养模式。开放实验室，规范第二课堂双创学分。常态化举办科技节、双创训练营，各学院打造特色赛事、各专业组建双创社团，推动学生全员参赛。引入社会资源建设创客空间，一体化打通项目培育、赛事比拼、成果孵化全流程。</w:t>
      </w:r>
    </w:p>
    <w:p w14:paraId="06C4D6A1">
      <w:pPr>
        <w:spacing w:line="400" w:lineRule="exact"/>
        <w:ind w:firstLine="600" w:firstLineChars="200"/>
        <w:jc w:val="both"/>
        <w:rPr>
          <w:rFonts w:ascii="黑体" w:hAnsi="黑体" w:eastAsia="黑体" w:cs="黑体"/>
          <w:bCs/>
          <w:sz w:val="30"/>
          <w:szCs w:val="30"/>
          <w:highlight w:val="none"/>
          <w:lang w:eastAsia="zh-CN"/>
        </w:rPr>
      </w:pPr>
      <w:r>
        <w:rPr>
          <w:rFonts w:ascii="黑体" w:hAnsi="黑体" w:eastAsia="黑体" w:cs="黑体"/>
          <w:bCs/>
          <w:sz w:val="30"/>
          <w:szCs w:val="30"/>
          <w:highlight w:val="none"/>
          <w:lang w:eastAsia="zh-CN"/>
        </w:rPr>
        <w:br w:type="page"/>
      </w:r>
    </w:p>
    <w:p w14:paraId="66FF0010">
      <w:pPr>
        <w:spacing w:line="400" w:lineRule="exact"/>
        <w:ind w:right="323"/>
        <w:rPr>
          <w:rFonts w:ascii="黑体" w:hAnsi="黑体" w:eastAsia="黑体" w:cs="黑体"/>
          <w:bCs/>
          <w:sz w:val="30"/>
          <w:szCs w:val="30"/>
          <w:highlight w:val="none"/>
          <w:lang w:eastAsia="zh-CN"/>
        </w:rPr>
      </w:pPr>
    </w:p>
    <w:p w14:paraId="4C2CBAF5">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附件：</w:t>
      </w:r>
    </w:p>
    <w:p w14:paraId="6A596694">
      <w:pPr>
        <w:spacing w:line="400" w:lineRule="exact"/>
        <w:ind w:right="323"/>
        <w:jc w:val="center"/>
        <w:rPr>
          <w:rFonts w:ascii="黑体" w:hAnsi="黑体" w:eastAsia="黑体" w:cs="黑体"/>
          <w:bCs/>
          <w:sz w:val="30"/>
          <w:szCs w:val="30"/>
          <w:highlight w:val="none"/>
          <w:lang w:eastAsia="zh-CN"/>
        </w:rPr>
      </w:pPr>
    </w:p>
    <w:p w14:paraId="0BA31AF5">
      <w:pPr>
        <w:spacing w:line="400" w:lineRule="exact"/>
        <w:ind w:right="323"/>
        <w:jc w:val="center"/>
        <w:outlineLvl w:val="0"/>
        <w:rPr>
          <w:rFonts w:ascii="黑体" w:hAnsi="黑体" w:eastAsia="黑体" w:cs="黑体"/>
          <w:bCs/>
          <w:sz w:val="30"/>
          <w:szCs w:val="30"/>
          <w:highlight w:val="none"/>
          <w:lang w:eastAsia="zh-CN"/>
        </w:rPr>
      </w:pPr>
      <w:bookmarkStart w:id="86" w:name="_Toc2744"/>
      <w:r>
        <w:rPr>
          <w:rFonts w:hint="eastAsia" w:ascii="黑体" w:hAnsi="黑体" w:eastAsia="黑体" w:cs="黑体"/>
          <w:bCs/>
          <w:sz w:val="30"/>
          <w:szCs w:val="30"/>
          <w:highlight w:val="none"/>
          <w:lang w:eastAsia="zh-CN"/>
        </w:rPr>
        <w:t>山东现代学院202</w:t>
      </w:r>
      <w:r>
        <w:rPr>
          <w:rFonts w:hint="eastAsia" w:ascii="黑体" w:hAnsi="黑体" w:eastAsia="黑体" w:cs="黑体"/>
          <w:bCs/>
          <w:sz w:val="30"/>
          <w:szCs w:val="30"/>
          <w:highlight w:val="none"/>
          <w:lang w:val="en-US" w:eastAsia="zh-CN"/>
        </w:rPr>
        <w:t>4</w:t>
      </w:r>
      <w:r>
        <w:rPr>
          <w:rFonts w:hint="eastAsia" w:ascii="宋体" w:hAnsi="宋体" w:eastAsia="宋体" w:cs="宋体"/>
          <w:color w:val="auto"/>
          <w:sz w:val="24"/>
          <w:szCs w:val="24"/>
          <w:highlight w:val="none"/>
          <w:lang w:eastAsia="zh-CN"/>
        </w:rPr>
        <w:t>～</w:t>
      </w:r>
      <w:r>
        <w:rPr>
          <w:rFonts w:hint="eastAsia" w:ascii="黑体" w:hAnsi="黑体" w:eastAsia="黑体" w:cs="黑体"/>
          <w:bCs/>
          <w:sz w:val="30"/>
          <w:szCs w:val="30"/>
          <w:highlight w:val="none"/>
          <w:lang w:eastAsia="zh-CN"/>
        </w:rPr>
        <w:t>202</w:t>
      </w:r>
      <w:r>
        <w:rPr>
          <w:rFonts w:hint="eastAsia" w:ascii="黑体" w:hAnsi="黑体" w:eastAsia="黑体" w:cs="黑体"/>
          <w:bCs/>
          <w:sz w:val="30"/>
          <w:szCs w:val="30"/>
          <w:highlight w:val="none"/>
          <w:lang w:val="en-US" w:eastAsia="zh-CN"/>
        </w:rPr>
        <w:t>5</w:t>
      </w:r>
      <w:r>
        <w:rPr>
          <w:rFonts w:hint="eastAsia" w:ascii="黑体" w:hAnsi="黑体" w:eastAsia="黑体" w:cs="黑体"/>
          <w:bCs/>
          <w:sz w:val="30"/>
          <w:szCs w:val="30"/>
          <w:highlight w:val="none"/>
          <w:lang w:eastAsia="zh-CN"/>
        </w:rPr>
        <w:t>学年本科教学质量报告支撑数据</w:t>
      </w:r>
      <w:bookmarkEnd w:id="86"/>
    </w:p>
    <w:p w14:paraId="3440C4A8">
      <w:pPr>
        <w:spacing w:line="400" w:lineRule="exact"/>
        <w:ind w:right="323"/>
        <w:jc w:val="center"/>
        <w:rPr>
          <w:rFonts w:ascii="黑体" w:hAnsi="黑体" w:eastAsia="黑体" w:cs="黑体"/>
          <w:bCs/>
          <w:sz w:val="30"/>
          <w:szCs w:val="30"/>
          <w:highlight w:val="none"/>
          <w:lang w:eastAsia="zh-CN"/>
        </w:rPr>
      </w:pPr>
    </w:p>
    <w:tbl>
      <w:tblPr>
        <w:tblStyle w:val="19"/>
        <w:tblW w:w="8648" w:type="dxa"/>
        <w:jc w:val="center"/>
        <w:tblLayout w:type="fixed"/>
        <w:tblCellMar>
          <w:top w:w="0" w:type="dxa"/>
          <w:left w:w="108" w:type="dxa"/>
          <w:bottom w:w="0" w:type="dxa"/>
          <w:right w:w="108" w:type="dxa"/>
        </w:tblCellMar>
      </w:tblPr>
      <w:tblGrid>
        <w:gridCol w:w="940"/>
        <w:gridCol w:w="3479"/>
        <w:gridCol w:w="2289"/>
        <w:gridCol w:w="1940"/>
      </w:tblGrid>
      <w:tr w14:paraId="5AB883FD">
        <w:tblPrEx>
          <w:tblCellMar>
            <w:top w:w="0" w:type="dxa"/>
            <w:left w:w="108" w:type="dxa"/>
            <w:bottom w:w="0" w:type="dxa"/>
            <w:right w:w="108" w:type="dxa"/>
          </w:tblCellMar>
        </w:tblPrEx>
        <w:trPr>
          <w:trHeight w:val="645" w:hRule="atLeast"/>
          <w:tblHeader/>
          <w:jc w:val="center"/>
        </w:trPr>
        <w:tc>
          <w:tcPr>
            <w:tcW w:w="940" w:type="dxa"/>
            <w:tcBorders>
              <w:top w:val="single" w:color="auto" w:sz="4" w:space="0"/>
              <w:left w:val="single" w:color="auto" w:sz="4" w:space="0"/>
              <w:bottom w:val="nil"/>
              <w:right w:val="single" w:color="auto" w:sz="4" w:space="0"/>
            </w:tcBorders>
            <w:noWrap w:val="0"/>
            <w:vAlign w:val="center"/>
          </w:tcPr>
          <w:p w14:paraId="36E3FEF0">
            <w:pPr>
              <w:jc w:val="center"/>
              <w:rPr>
                <w:rFonts w:ascii="微软雅黑" w:hAnsi="微软雅黑" w:eastAsia="微软雅黑" w:cs="宋体"/>
                <w:b/>
                <w:bCs/>
                <w:color w:val="000000"/>
                <w:highlight w:val="none"/>
              </w:rPr>
            </w:pPr>
            <w:r>
              <w:rPr>
                <w:rFonts w:hint="eastAsia" w:ascii="微软雅黑" w:hAnsi="微软雅黑" w:eastAsia="微软雅黑" w:cs="宋体"/>
                <w:b/>
                <w:bCs/>
                <w:color w:val="000000"/>
                <w:highlight w:val="none"/>
              </w:rPr>
              <w:t>序号</w:t>
            </w:r>
          </w:p>
        </w:tc>
        <w:tc>
          <w:tcPr>
            <w:tcW w:w="3479" w:type="dxa"/>
            <w:tcBorders>
              <w:top w:val="single" w:color="auto" w:sz="4" w:space="0"/>
              <w:left w:val="nil"/>
              <w:bottom w:val="nil"/>
              <w:right w:val="single" w:color="auto" w:sz="4" w:space="0"/>
            </w:tcBorders>
            <w:noWrap w:val="0"/>
            <w:vAlign w:val="center"/>
          </w:tcPr>
          <w:p w14:paraId="19027A1B">
            <w:pPr>
              <w:jc w:val="center"/>
              <w:rPr>
                <w:rFonts w:ascii="微软雅黑" w:hAnsi="微软雅黑" w:eastAsia="微软雅黑" w:cs="宋体"/>
                <w:b/>
                <w:bCs/>
                <w:color w:val="000000"/>
                <w:highlight w:val="none"/>
              </w:rPr>
            </w:pPr>
            <w:r>
              <w:rPr>
                <w:rFonts w:hint="eastAsia" w:ascii="微软雅黑" w:hAnsi="微软雅黑" w:eastAsia="微软雅黑" w:cs="宋体"/>
                <w:b/>
                <w:bCs/>
                <w:color w:val="000000"/>
                <w:highlight w:val="none"/>
              </w:rPr>
              <w:t>数据指标名称</w:t>
            </w:r>
          </w:p>
        </w:tc>
        <w:tc>
          <w:tcPr>
            <w:tcW w:w="2289" w:type="dxa"/>
            <w:tcBorders>
              <w:top w:val="single" w:color="auto" w:sz="4" w:space="0"/>
              <w:left w:val="nil"/>
              <w:bottom w:val="nil"/>
              <w:right w:val="single" w:color="auto" w:sz="4" w:space="0"/>
            </w:tcBorders>
            <w:noWrap w:val="0"/>
            <w:vAlign w:val="center"/>
          </w:tcPr>
          <w:p w14:paraId="14C3105D">
            <w:pPr>
              <w:jc w:val="center"/>
              <w:rPr>
                <w:rFonts w:ascii="微软雅黑" w:hAnsi="微软雅黑" w:eastAsia="微软雅黑" w:cs="宋体"/>
                <w:b/>
                <w:bCs/>
                <w:highlight w:val="none"/>
              </w:rPr>
            </w:pPr>
            <w:r>
              <w:rPr>
                <w:rFonts w:hint="eastAsia" w:ascii="微软雅黑" w:hAnsi="微软雅黑" w:eastAsia="微软雅黑" w:cs="宋体"/>
                <w:b/>
                <w:bCs/>
                <w:highlight w:val="none"/>
              </w:rPr>
              <w:t>数据</w:t>
            </w:r>
          </w:p>
        </w:tc>
        <w:tc>
          <w:tcPr>
            <w:tcW w:w="1940" w:type="dxa"/>
            <w:tcBorders>
              <w:top w:val="single" w:color="auto" w:sz="4" w:space="0"/>
              <w:left w:val="nil"/>
              <w:bottom w:val="nil"/>
              <w:right w:val="single" w:color="auto" w:sz="4" w:space="0"/>
            </w:tcBorders>
            <w:noWrap w:val="0"/>
            <w:vAlign w:val="center"/>
          </w:tcPr>
          <w:p w14:paraId="6664263E">
            <w:pPr>
              <w:jc w:val="center"/>
              <w:rPr>
                <w:rFonts w:ascii="微软雅黑" w:hAnsi="微软雅黑" w:eastAsia="微软雅黑" w:cs="宋体"/>
                <w:b/>
                <w:bCs/>
                <w:highlight w:val="none"/>
              </w:rPr>
            </w:pPr>
            <w:r>
              <w:rPr>
                <w:rFonts w:hint="eastAsia" w:ascii="微软雅黑" w:hAnsi="微软雅黑" w:eastAsia="微软雅黑" w:cs="宋体"/>
                <w:b/>
                <w:bCs/>
                <w:highlight w:val="none"/>
              </w:rPr>
              <w:t>备注</w:t>
            </w:r>
          </w:p>
        </w:tc>
      </w:tr>
      <w:tr w14:paraId="24D74C32">
        <w:tblPrEx>
          <w:tblCellMar>
            <w:top w:w="0" w:type="dxa"/>
            <w:left w:w="108" w:type="dxa"/>
            <w:bottom w:w="0" w:type="dxa"/>
            <w:right w:w="108" w:type="dxa"/>
          </w:tblCellMar>
        </w:tblPrEx>
        <w:trPr>
          <w:trHeight w:val="4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61BFAA16">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1-1</w:t>
            </w:r>
          </w:p>
        </w:tc>
        <w:tc>
          <w:tcPr>
            <w:tcW w:w="3479" w:type="dxa"/>
            <w:tcBorders>
              <w:top w:val="single" w:color="auto" w:sz="4" w:space="0"/>
              <w:left w:val="nil"/>
              <w:bottom w:val="single" w:color="auto" w:sz="4" w:space="0"/>
              <w:right w:val="single" w:color="auto" w:sz="4" w:space="0"/>
            </w:tcBorders>
            <w:noWrap w:val="0"/>
            <w:vAlign w:val="center"/>
          </w:tcPr>
          <w:p w14:paraId="1E8688A8">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本科生人数</w:t>
            </w:r>
          </w:p>
        </w:tc>
        <w:tc>
          <w:tcPr>
            <w:tcW w:w="2289" w:type="dxa"/>
            <w:tcBorders>
              <w:top w:val="single" w:color="auto" w:sz="4" w:space="0"/>
              <w:left w:val="nil"/>
              <w:bottom w:val="single" w:color="auto" w:sz="4" w:space="0"/>
              <w:right w:val="single" w:color="auto" w:sz="4" w:space="0"/>
            </w:tcBorders>
            <w:noWrap w:val="0"/>
            <w:vAlign w:val="center"/>
          </w:tcPr>
          <w:p w14:paraId="6D85EC23">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8149</w:t>
            </w:r>
          </w:p>
        </w:tc>
        <w:tc>
          <w:tcPr>
            <w:tcW w:w="1940" w:type="dxa"/>
            <w:tcBorders>
              <w:top w:val="single" w:color="auto" w:sz="4" w:space="0"/>
              <w:left w:val="nil"/>
              <w:bottom w:val="single" w:color="auto" w:sz="4" w:space="0"/>
              <w:right w:val="single" w:color="auto" w:sz="4" w:space="0"/>
            </w:tcBorders>
            <w:noWrap w:val="0"/>
            <w:vAlign w:val="bottom"/>
          </w:tcPr>
          <w:p w14:paraId="78AC7A00">
            <w:pPr>
              <w:rPr>
                <w:rFonts w:ascii="宋体" w:hAnsi="宋体" w:cs="宋体"/>
                <w:sz w:val="24"/>
                <w:szCs w:val="24"/>
                <w:highlight w:val="none"/>
              </w:rPr>
            </w:pPr>
          </w:p>
        </w:tc>
      </w:tr>
      <w:tr w14:paraId="0550D68F">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1A7460F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1-2</w:t>
            </w:r>
          </w:p>
        </w:tc>
        <w:tc>
          <w:tcPr>
            <w:tcW w:w="3479" w:type="dxa"/>
            <w:tcBorders>
              <w:top w:val="nil"/>
              <w:left w:val="nil"/>
              <w:bottom w:val="single" w:color="auto" w:sz="4" w:space="0"/>
              <w:right w:val="single" w:color="auto" w:sz="4" w:space="0"/>
            </w:tcBorders>
            <w:noWrap w:val="0"/>
            <w:vAlign w:val="center"/>
          </w:tcPr>
          <w:p w14:paraId="483CB4ED">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折合在校生人数</w:t>
            </w:r>
          </w:p>
        </w:tc>
        <w:tc>
          <w:tcPr>
            <w:tcW w:w="2289" w:type="dxa"/>
            <w:tcBorders>
              <w:top w:val="nil"/>
              <w:left w:val="nil"/>
              <w:bottom w:val="single" w:color="auto" w:sz="4" w:space="0"/>
              <w:right w:val="single" w:color="auto" w:sz="4" w:space="0"/>
            </w:tcBorders>
            <w:noWrap w:val="0"/>
            <w:vAlign w:val="center"/>
          </w:tcPr>
          <w:p w14:paraId="74E8E474">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4"/>
                <w:szCs w:val="24"/>
                <w:highlight w:val="none"/>
                <w:u w:val="none"/>
                <w:lang w:val="en-US" w:eastAsia="zh-CN" w:bidi="ar"/>
              </w:rPr>
              <w:t>15290</w:t>
            </w:r>
          </w:p>
        </w:tc>
        <w:tc>
          <w:tcPr>
            <w:tcW w:w="1940" w:type="dxa"/>
            <w:tcBorders>
              <w:top w:val="nil"/>
              <w:left w:val="nil"/>
              <w:bottom w:val="single" w:color="auto" w:sz="4" w:space="0"/>
              <w:right w:val="single" w:color="auto" w:sz="4" w:space="0"/>
            </w:tcBorders>
            <w:noWrap w:val="0"/>
            <w:vAlign w:val="bottom"/>
          </w:tcPr>
          <w:p w14:paraId="164803B7">
            <w:pPr>
              <w:rPr>
                <w:rFonts w:ascii="宋体" w:hAnsi="宋体" w:cs="宋体"/>
                <w:sz w:val="24"/>
                <w:szCs w:val="24"/>
                <w:highlight w:val="none"/>
              </w:rPr>
            </w:pPr>
          </w:p>
        </w:tc>
      </w:tr>
      <w:tr w14:paraId="6B93BABA">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58FFDB68">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1-3</w:t>
            </w:r>
          </w:p>
        </w:tc>
        <w:tc>
          <w:tcPr>
            <w:tcW w:w="3479" w:type="dxa"/>
            <w:tcBorders>
              <w:top w:val="nil"/>
              <w:left w:val="nil"/>
              <w:bottom w:val="single" w:color="auto" w:sz="4" w:space="0"/>
              <w:right w:val="single" w:color="auto" w:sz="4" w:space="0"/>
            </w:tcBorders>
            <w:noWrap w:val="0"/>
            <w:vAlign w:val="center"/>
          </w:tcPr>
          <w:p w14:paraId="0E630722">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全日制在校生人数</w:t>
            </w:r>
          </w:p>
        </w:tc>
        <w:tc>
          <w:tcPr>
            <w:tcW w:w="2289" w:type="dxa"/>
            <w:tcBorders>
              <w:top w:val="nil"/>
              <w:left w:val="nil"/>
              <w:bottom w:val="single" w:color="auto" w:sz="4" w:space="0"/>
              <w:right w:val="single" w:color="auto" w:sz="4" w:space="0"/>
            </w:tcBorders>
            <w:noWrap w:val="0"/>
            <w:vAlign w:val="center"/>
          </w:tcPr>
          <w:p w14:paraId="79B98953">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4"/>
                <w:szCs w:val="24"/>
                <w:highlight w:val="none"/>
                <w:u w:val="none"/>
                <w:lang w:val="en-US" w:eastAsia="zh-CN" w:bidi="ar"/>
              </w:rPr>
              <w:t>15290</w:t>
            </w:r>
          </w:p>
        </w:tc>
        <w:tc>
          <w:tcPr>
            <w:tcW w:w="1940" w:type="dxa"/>
            <w:tcBorders>
              <w:top w:val="nil"/>
              <w:left w:val="nil"/>
              <w:bottom w:val="single" w:color="auto" w:sz="4" w:space="0"/>
              <w:right w:val="single" w:color="auto" w:sz="4" w:space="0"/>
            </w:tcBorders>
            <w:noWrap w:val="0"/>
            <w:vAlign w:val="bottom"/>
          </w:tcPr>
          <w:p w14:paraId="04D1AF4E">
            <w:pPr>
              <w:rPr>
                <w:rFonts w:ascii="宋体" w:hAnsi="宋体" w:cs="宋体"/>
                <w:sz w:val="24"/>
                <w:szCs w:val="24"/>
                <w:highlight w:val="none"/>
              </w:rPr>
            </w:pPr>
          </w:p>
        </w:tc>
      </w:tr>
      <w:tr w14:paraId="34EB7083">
        <w:tblPrEx>
          <w:tblCellMar>
            <w:top w:w="0" w:type="dxa"/>
            <w:left w:w="108" w:type="dxa"/>
            <w:bottom w:w="0" w:type="dxa"/>
            <w:right w:w="108" w:type="dxa"/>
          </w:tblCellMar>
        </w:tblPrEx>
        <w:trPr>
          <w:trHeight w:val="540" w:hRule="atLeast"/>
          <w:jc w:val="center"/>
        </w:trPr>
        <w:tc>
          <w:tcPr>
            <w:tcW w:w="940" w:type="dxa"/>
            <w:tcBorders>
              <w:top w:val="nil"/>
              <w:left w:val="single" w:color="auto" w:sz="4" w:space="0"/>
              <w:bottom w:val="single" w:color="auto" w:sz="4" w:space="0"/>
              <w:right w:val="single" w:color="auto" w:sz="4" w:space="0"/>
            </w:tcBorders>
            <w:noWrap w:val="0"/>
            <w:vAlign w:val="center"/>
          </w:tcPr>
          <w:p w14:paraId="1DDE272D">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1-4</w:t>
            </w:r>
          </w:p>
        </w:tc>
        <w:tc>
          <w:tcPr>
            <w:tcW w:w="3479" w:type="dxa"/>
            <w:tcBorders>
              <w:top w:val="nil"/>
              <w:left w:val="nil"/>
              <w:bottom w:val="single" w:color="auto" w:sz="4" w:space="0"/>
              <w:right w:val="single" w:color="auto" w:sz="4" w:space="0"/>
            </w:tcBorders>
            <w:noWrap w:val="0"/>
            <w:vAlign w:val="center"/>
          </w:tcPr>
          <w:p w14:paraId="2B4419F5">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本科生占全日制在校生总数的比例</w:t>
            </w:r>
          </w:p>
        </w:tc>
        <w:tc>
          <w:tcPr>
            <w:tcW w:w="2289" w:type="dxa"/>
            <w:tcBorders>
              <w:top w:val="nil"/>
              <w:left w:val="nil"/>
              <w:bottom w:val="single" w:color="auto" w:sz="4" w:space="0"/>
              <w:right w:val="single" w:color="auto" w:sz="4" w:space="0"/>
            </w:tcBorders>
            <w:noWrap w:val="0"/>
            <w:vAlign w:val="center"/>
          </w:tcPr>
          <w:p w14:paraId="71AF202F">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53.29</w:t>
            </w:r>
          </w:p>
        </w:tc>
        <w:tc>
          <w:tcPr>
            <w:tcW w:w="1940" w:type="dxa"/>
            <w:tcBorders>
              <w:top w:val="nil"/>
              <w:left w:val="nil"/>
              <w:bottom w:val="single" w:color="auto" w:sz="4" w:space="0"/>
              <w:right w:val="single" w:color="auto" w:sz="4" w:space="0"/>
            </w:tcBorders>
            <w:noWrap w:val="0"/>
            <w:vAlign w:val="bottom"/>
          </w:tcPr>
          <w:p w14:paraId="021391EF">
            <w:pPr>
              <w:rPr>
                <w:rFonts w:ascii="宋体" w:hAnsi="宋体" w:cs="宋体"/>
                <w:sz w:val="24"/>
                <w:szCs w:val="24"/>
                <w:highlight w:val="none"/>
              </w:rPr>
            </w:pPr>
          </w:p>
        </w:tc>
      </w:tr>
      <w:tr w14:paraId="25B33D94">
        <w:tblPrEx>
          <w:tblCellMar>
            <w:top w:w="0" w:type="dxa"/>
            <w:left w:w="108" w:type="dxa"/>
            <w:bottom w:w="0" w:type="dxa"/>
            <w:right w:w="108" w:type="dxa"/>
          </w:tblCellMar>
        </w:tblPrEx>
        <w:trPr>
          <w:trHeight w:val="720" w:hRule="atLeast"/>
          <w:jc w:val="center"/>
        </w:trPr>
        <w:tc>
          <w:tcPr>
            <w:tcW w:w="940" w:type="dxa"/>
            <w:tcBorders>
              <w:top w:val="nil"/>
              <w:left w:val="single" w:color="auto" w:sz="4" w:space="0"/>
              <w:bottom w:val="single" w:color="auto" w:sz="4" w:space="0"/>
              <w:right w:val="single" w:color="auto" w:sz="4" w:space="0"/>
            </w:tcBorders>
            <w:noWrap w:val="0"/>
            <w:vAlign w:val="center"/>
          </w:tcPr>
          <w:p w14:paraId="6A1A3350">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2-1</w:t>
            </w:r>
          </w:p>
        </w:tc>
        <w:tc>
          <w:tcPr>
            <w:tcW w:w="3479" w:type="dxa"/>
            <w:tcBorders>
              <w:top w:val="nil"/>
              <w:left w:val="nil"/>
              <w:bottom w:val="single" w:color="auto" w:sz="4" w:space="0"/>
              <w:right w:val="single" w:color="auto" w:sz="4" w:space="0"/>
            </w:tcBorders>
            <w:noWrap w:val="0"/>
            <w:vAlign w:val="center"/>
          </w:tcPr>
          <w:p w14:paraId="2860DF8D">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专任教师数量</w:t>
            </w:r>
          </w:p>
        </w:tc>
        <w:tc>
          <w:tcPr>
            <w:tcW w:w="2289" w:type="dxa"/>
            <w:tcBorders>
              <w:top w:val="nil"/>
              <w:left w:val="nil"/>
              <w:bottom w:val="single" w:color="auto" w:sz="4" w:space="0"/>
              <w:right w:val="single" w:color="auto" w:sz="4" w:space="0"/>
            </w:tcBorders>
            <w:noWrap w:val="0"/>
            <w:vAlign w:val="center"/>
          </w:tcPr>
          <w:p w14:paraId="3AF9AE67">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779</w:t>
            </w:r>
          </w:p>
        </w:tc>
        <w:tc>
          <w:tcPr>
            <w:tcW w:w="1940" w:type="dxa"/>
            <w:tcBorders>
              <w:top w:val="nil"/>
              <w:left w:val="nil"/>
              <w:bottom w:val="single" w:color="auto" w:sz="4" w:space="0"/>
              <w:right w:val="single" w:color="auto" w:sz="4" w:space="0"/>
            </w:tcBorders>
            <w:noWrap w:val="0"/>
            <w:vAlign w:val="center"/>
          </w:tcPr>
          <w:p w14:paraId="7A79AEFA">
            <w:pPr>
              <w:keepNext w:val="0"/>
              <w:keepLines w:val="0"/>
              <w:widowControl/>
              <w:suppressLineNumbers w:val="0"/>
              <w:jc w:val="left"/>
              <w:textAlignment w:val="center"/>
              <w:rPr>
                <w:rFonts w:hint="eastAsia" w:ascii="宋体" w:hAnsi="宋体" w:eastAsia="宋体" w:cs="宋体"/>
                <w:i w:val="0"/>
                <w:iCs w:val="0"/>
                <w:snapToGrid w:val="0"/>
                <w:color w:val="000000"/>
                <w:sz w:val="20"/>
                <w:szCs w:val="20"/>
                <w:highlight w:val="none"/>
                <w:u w:val="none"/>
                <w:lang w:val="en-US" w:eastAsia="en-US" w:bidi="ar-SA"/>
              </w:rPr>
            </w:pPr>
            <w:r>
              <w:rPr>
                <w:rFonts w:hint="eastAsia" w:ascii="宋体" w:hAnsi="宋体" w:eastAsia="宋体" w:cs="宋体"/>
                <w:i w:val="0"/>
                <w:iCs w:val="0"/>
                <w:snapToGrid w:val="0"/>
                <w:color w:val="000000"/>
                <w:kern w:val="0"/>
                <w:sz w:val="20"/>
                <w:szCs w:val="20"/>
                <w:highlight w:val="none"/>
                <w:u w:val="none"/>
                <w:lang w:val="en-US" w:eastAsia="zh-CN" w:bidi="ar"/>
              </w:rPr>
              <w:t>分专业教师数量及结构见附表1、2、3、4</w:t>
            </w:r>
          </w:p>
        </w:tc>
      </w:tr>
      <w:tr w14:paraId="297A5CE3">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7337669E">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2-2</w:t>
            </w:r>
          </w:p>
        </w:tc>
        <w:tc>
          <w:tcPr>
            <w:tcW w:w="3479" w:type="dxa"/>
            <w:tcBorders>
              <w:top w:val="nil"/>
              <w:left w:val="nil"/>
              <w:bottom w:val="single" w:color="auto" w:sz="4" w:space="0"/>
              <w:right w:val="single" w:color="auto" w:sz="4" w:space="0"/>
            </w:tcBorders>
            <w:noWrap w:val="0"/>
            <w:vAlign w:val="center"/>
          </w:tcPr>
          <w:p w14:paraId="574E27BC">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外聘教师数量</w:t>
            </w:r>
          </w:p>
        </w:tc>
        <w:tc>
          <w:tcPr>
            <w:tcW w:w="2289" w:type="dxa"/>
            <w:tcBorders>
              <w:top w:val="nil"/>
              <w:left w:val="nil"/>
              <w:bottom w:val="single" w:color="auto" w:sz="4" w:space="0"/>
              <w:right w:val="single" w:color="auto" w:sz="4" w:space="0"/>
            </w:tcBorders>
            <w:noWrap w:val="0"/>
            <w:vAlign w:val="center"/>
          </w:tcPr>
          <w:p w14:paraId="1A932E30">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179</w:t>
            </w:r>
          </w:p>
        </w:tc>
        <w:tc>
          <w:tcPr>
            <w:tcW w:w="1940" w:type="dxa"/>
            <w:tcBorders>
              <w:top w:val="nil"/>
              <w:left w:val="nil"/>
              <w:bottom w:val="single" w:color="auto" w:sz="4" w:space="0"/>
              <w:right w:val="single" w:color="auto" w:sz="4" w:space="0"/>
            </w:tcBorders>
            <w:noWrap w:val="0"/>
            <w:vAlign w:val="bottom"/>
          </w:tcPr>
          <w:p w14:paraId="4BC53C13">
            <w:pPr>
              <w:rPr>
                <w:rFonts w:ascii="宋体" w:hAnsi="宋体" w:cs="宋体"/>
                <w:sz w:val="24"/>
                <w:szCs w:val="24"/>
                <w:highlight w:val="none"/>
              </w:rPr>
            </w:pPr>
          </w:p>
        </w:tc>
      </w:tr>
      <w:tr w14:paraId="639E0851">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457C1AFA">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2-3</w:t>
            </w:r>
          </w:p>
        </w:tc>
        <w:tc>
          <w:tcPr>
            <w:tcW w:w="3479" w:type="dxa"/>
            <w:tcBorders>
              <w:top w:val="nil"/>
              <w:left w:val="nil"/>
              <w:bottom w:val="single" w:color="auto" w:sz="4" w:space="0"/>
              <w:right w:val="single" w:color="auto" w:sz="4" w:space="0"/>
            </w:tcBorders>
            <w:noWrap w:val="0"/>
            <w:vAlign w:val="center"/>
          </w:tcPr>
          <w:p w14:paraId="3825DF1F">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具有高级职称的专任教师比例</w:t>
            </w:r>
          </w:p>
        </w:tc>
        <w:tc>
          <w:tcPr>
            <w:tcW w:w="2289" w:type="dxa"/>
            <w:tcBorders>
              <w:top w:val="nil"/>
              <w:left w:val="nil"/>
              <w:bottom w:val="single" w:color="auto" w:sz="4" w:space="0"/>
              <w:right w:val="single" w:color="auto" w:sz="4" w:space="0"/>
            </w:tcBorders>
            <w:noWrap w:val="0"/>
            <w:vAlign w:val="center"/>
          </w:tcPr>
          <w:p w14:paraId="0EA373CE">
            <w:pPr>
              <w:keepNext w:val="0"/>
              <w:keepLines w:val="0"/>
              <w:widowControl/>
              <w:suppressLineNumbers w:val="0"/>
              <w:jc w:val="center"/>
              <w:textAlignment w:val="center"/>
              <w:rPr>
                <w:rFonts w:hint="eastAsia"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7.96</w:t>
            </w:r>
          </w:p>
        </w:tc>
        <w:tc>
          <w:tcPr>
            <w:tcW w:w="1940" w:type="dxa"/>
            <w:tcBorders>
              <w:top w:val="nil"/>
              <w:left w:val="nil"/>
              <w:bottom w:val="single" w:color="auto" w:sz="4" w:space="0"/>
              <w:right w:val="single" w:color="auto" w:sz="4" w:space="0"/>
            </w:tcBorders>
            <w:noWrap w:val="0"/>
            <w:vAlign w:val="bottom"/>
          </w:tcPr>
          <w:p w14:paraId="53483C7E">
            <w:pPr>
              <w:rPr>
                <w:rFonts w:ascii="宋体" w:hAnsi="宋体" w:cs="宋体"/>
                <w:sz w:val="24"/>
                <w:szCs w:val="24"/>
                <w:highlight w:val="none"/>
              </w:rPr>
            </w:pPr>
          </w:p>
        </w:tc>
      </w:tr>
      <w:tr w14:paraId="0D3C5338">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5DC32640">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2-4</w:t>
            </w:r>
          </w:p>
        </w:tc>
        <w:tc>
          <w:tcPr>
            <w:tcW w:w="3479" w:type="dxa"/>
            <w:tcBorders>
              <w:top w:val="nil"/>
              <w:left w:val="nil"/>
              <w:bottom w:val="single" w:color="auto" w:sz="4" w:space="0"/>
              <w:right w:val="single" w:color="auto" w:sz="4" w:space="0"/>
            </w:tcBorders>
            <w:noWrap w:val="0"/>
            <w:vAlign w:val="center"/>
          </w:tcPr>
          <w:p w14:paraId="7AA1FFF1">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具有博士学位的专任教师比例</w:t>
            </w:r>
          </w:p>
        </w:tc>
        <w:tc>
          <w:tcPr>
            <w:tcW w:w="2289" w:type="dxa"/>
            <w:tcBorders>
              <w:top w:val="nil"/>
              <w:left w:val="nil"/>
              <w:bottom w:val="single" w:color="auto" w:sz="4" w:space="0"/>
              <w:right w:val="single" w:color="auto" w:sz="4" w:space="0"/>
            </w:tcBorders>
            <w:noWrap w:val="0"/>
            <w:vAlign w:val="center"/>
          </w:tcPr>
          <w:p w14:paraId="2CC92C21">
            <w:pPr>
              <w:keepNext w:val="0"/>
              <w:keepLines w:val="0"/>
              <w:widowControl/>
              <w:suppressLineNumbers w:val="0"/>
              <w:jc w:val="center"/>
              <w:textAlignment w:val="center"/>
              <w:rPr>
                <w:rFonts w:hint="eastAsia"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1.16</w:t>
            </w:r>
          </w:p>
        </w:tc>
        <w:tc>
          <w:tcPr>
            <w:tcW w:w="1940" w:type="dxa"/>
            <w:tcBorders>
              <w:top w:val="nil"/>
              <w:left w:val="nil"/>
              <w:bottom w:val="single" w:color="auto" w:sz="4" w:space="0"/>
              <w:right w:val="single" w:color="auto" w:sz="4" w:space="0"/>
            </w:tcBorders>
            <w:noWrap w:val="0"/>
            <w:vAlign w:val="bottom"/>
          </w:tcPr>
          <w:p w14:paraId="23F139D0">
            <w:pPr>
              <w:rPr>
                <w:rFonts w:ascii="宋体" w:hAnsi="宋体" w:cs="宋体"/>
                <w:sz w:val="24"/>
                <w:szCs w:val="24"/>
                <w:highlight w:val="none"/>
              </w:rPr>
            </w:pPr>
          </w:p>
        </w:tc>
      </w:tr>
      <w:tr w14:paraId="4403F969">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3946A365">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2-5</w:t>
            </w:r>
          </w:p>
        </w:tc>
        <w:tc>
          <w:tcPr>
            <w:tcW w:w="3479" w:type="dxa"/>
            <w:tcBorders>
              <w:top w:val="nil"/>
              <w:left w:val="nil"/>
              <w:bottom w:val="single" w:color="auto" w:sz="4" w:space="0"/>
              <w:right w:val="single" w:color="auto" w:sz="4" w:space="0"/>
            </w:tcBorders>
            <w:noWrap w:val="0"/>
            <w:vAlign w:val="center"/>
          </w:tcPr>
          <w:p w14:paraId="1CF44C6D">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具有硕士学位的专任教师比例</w:t>
            </w:r>
          </w:p>
        </w:tc>
        <w:tc>
          <w:tcPr>
            <w:tcW w:w="2289" w:type="dxa"/>
            <w:tcBorders>
              <w:top w:val="nil"/>
              <w:left w:val="nil"/>
              <w:bottom w:val="single" w:color="auto" w:sz="4" w:space="0"/>
              <w:right w:val="single" w:color="auto" w:sz="4" w:space="0"/>
            </w:tcBorders>
            <w:noWrap w:val="0"/>
            <w:vAlign w:val="center"/>
          </w:tcPr>
          <w:p w14:paraId="4481C476">
            <w:pPr>
              <w:keepNext w:val="0"/>
              <w:keepLines w:val="0"/>
              <w:widowControl/>
              <w:suppressLineNumbers w:val="0"/>
              <w:jc w:val="center"/>
              <w:textAlignment w:val="center"/>
              <w:rPr>
                <w:rFonts w:hint="eastAsia"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87.93</w:t>
            </w:r>
          </w:p>
        </w:tc>
        <w:tc>
          <w:tcPr>
            <w:tcW w:w="1940" w:type="dxa"/>
            <w:tcBorders>
              <w:top w:val="nil"/>
              <w:left w:val="nil"/>
              <w:bottom w:val="single" w:color="auto" w:sz="4" w:space="0"/>
              <w:right w:val="single" w:color="auto" w:sz="4" w:space="0"/>
            </w:tcBorders>
            <w:noWrap w:val="0"/>
            <w:vAlign w:val="bottom"/>
          </w:tcPr>
          <w:p w14:paraId="02F00242">
            <w:pPr>
              <w:rPr>
                <w:rFonts w:ascii="宋体" w:hAnsi="宋体" w:cs="宋体"/>
                <w:sz w:val="24"/>
                <w:szCs w:val="24"/>
                <w:highlight w:val="none"/>
              </w:rPr>
            </w:pPr>
          </w:p>
        </w:tc>
      </w:tr>
      <w:tr w14:paraId="542EF90C">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786F3D76">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3-1</w:t>
            </w:r>
          </w:p>
        </w:tc>
        <w:tc>
          <w:tcPr>
            <w:tcW w:w="3479" w:type="dxa"/>
            <w:tcBorders>
              <w:top w:val="nil"/>
              <w:left w:val="nil"/>
              <w:bottom w:val="single" w:color="auto" w:sz="4" w:space="0"/>
              <w:right w:val="single" w:color="auto" w:sz="4" w:space="0"/>
            </w:tcBorders>
            <w:noWrap w:val="0"/>
            <w:vAlign w:val="center"/>
          </w:tcPr>
          <w:p w14:paraId="62B21A60">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全校本科专业总数（国标专业）</w:t>
            </w:r>
          </w:p>
        </w:tc>
        <w:tc>
          <w:tcPr>
            <w:tcW w:w="2289" w:type="dxa"/>
            <w:tcBorders>
              <w:top w:val="nil"/>
              <w:left w:val="nil"/>
              <w:bottom w:val="single" w:color="auto" w:sz="4" w:space="0"/>
              <w:right w:val="single" w:color="auto" w:sz="4" w:space="0"/>
            </w:tcBorders>
            <w:noWrap w:val="0"/>
            <w:vAlign w:val="center"/>
          </w:tcPr>
          <w:p w14:paraId="6AD45229">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25</w:t>
            </w:r>
          </w:p>
        </w:tc>
        <w:tc>
          <w:tcPr>
            <w:tcW w:w="1940" w:type="dxa"/>
            <w:tcBorders>
              <w:top w:val="nil"/>
              <w:left w:val="nil"/>
              <w:bottom w:val="single" w:color="auto" w:sz="4" w:space="0"/>
              <w:right w:val="single" w:color="auto" w:sz="4" w:space="0"/>
            </w:tcBorders>
            <w:noWrap w:val="0"/>
            <w:vAlign w:val="bottom"/>
          </w:tcPr>
          <w:p w14:paraId="650853A7">
            <w:pPr>
              <w:rPr>
                <w:rFonts w:ascii="宋体" w:hAnsi="宋体" w:cs="宋体"/>
                <w:sz w:val="24"/>
                <w:szCs w:val="24"/>
                <w:highlight w:val="none"/>
              </w:rPr>
            </w:pPr>
          </w:p>
        </w:tc>
      </w:tr>
      <w:tr w14:paraId="229F0C22">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69350C5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3-2</w:t>
            </w:r>
          </w:p>
        </w:tc>
        <w:tc>
          <w:tcPr>
            <w:tcW w:w="3479" w:type="dxa"/>
            <w:tcBorders>
              <w:top w:val="nil"/>
              <w:left w:val="nil"/>
              <w:bottom w:val="single" w:color="auto" w:sz="4" w:space="0"/>
              <w:right w:val="single" w:color="auto" w:sz="4" w:space="0"/>
            </w:tcBorders>
            <w:noWrap w:val="0"/>
            <w:vAlign w:val="center"/>
          </w:tcPr>
          <w:p w14:paraId="17D4714E">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当年本科招生专业总数（国标专业）</w:t>
            </w:r>
          </w:p>
        </w:tc>
        <w:tc>
          <w:tcPr>
            <w:tcW w:w="2289" w:type="dxa"/>
            <w:tcBorders>
              <w:top w:val="nil"/>
              <w:left w:val="nil"/>
              <w:bottom w:val="single" w:color="auto" w:sz="4" w:space="0"/>
              <w:right w:val="single" w:color="auto" w:sz="4" w:space="0"/>
            </w:tcBorders>
            <w:noWrap w:val="0"/>
            <w:vAlign w:val="center"/>
          </w:tcPr>
          <w:p w14:paraId="300C9AC3">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25</w:t>
            </w:r>
          </w:p>
        </w:tc>
        <w:tc>
          <w:tcPr>
            <w:tcW w:w="1940" w:type="dxa"/>
            <w:tcBorders>
              <w:top w:val="nil"/>
              <w:left w:val="nil"/>
              <w:bottom w:val="single" w:color="auto" w:sz="4" w:space="0"/>
              <w:right w:val="single" w:color="auto" w:sz="4" w:space="0"/>
            </w:tcBorders>
            <w:noWrap w:val="0"/>
            <w:vAlign w:val="center"/>
          </w:tcPr>
          <w:p w14:paraId="4DD02BD1">
            <w:pPr>
              <w:keepNext w:val="0"/>
              <w:keepLines w:val="0"/>
              <w:widowControl/>
              <w:suppressLineNumbers w:val="0"/>
              <w:jc w:val="left"/>
              <w:textAlignment w:val="center"/>
              <w:rPr>
                <w:rFonts w:ascii="宋体" w:hAnsi="宋体" w:cs="宋体"/>
                <w:sz w:val="24"/>
                <w:szCs w:val="24"/>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按照表1-4-1中招生状态为在招状态的国标专业，校内专业25个，国标专业25个</w:t>
            </w:r>
          </w:p>
        </w:tc>
      </w:tr>
      <w:tr w14:paraId="1FFDF7D6">
        <w:tblPrEx>
          <w:tblCellMar>
            <w:top w:w="0" w:type="dxa"/>
            <w:left w:w="108" w:type="dxa"/>
            <w:bottom w:w="0" w:type="dxa"/>
            <w:right w:w="108" w:type="dxa"/>
          </w:tblCellMar>
        </w:tblPrEx>
        <w:trPr>
          <w:trHeight w:val="540" w:hRule="atLeast"/>
          <w:jc w:val="center"/>
        </w:trPr>
        <w:tc>
          <w:tcPr>
            <w:tcW w:w="940" w:type="dxa"/>
            <w:tcBorders>
              <w:top w:val="nil"/>
              <w:left w:val="single" w:color="auto" w:sz="4" w:space="0"/>
              <w:bottom w:val="single" w:color="auto" w:sz="4" w:space="0"/>
              <w:right w:val="single" w:color="auto" w:sz="4" w:space="0"/>
            </w:tcBorders>
            <w:noWrap w:val="0"/>
            <w:vAlign w:val="center"/>
          </w:tcPr>
          <w:p w14:paraId="41826C9B">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3-3</w:t>
            </w:r>
          </w:p>
        </w:tc>
        <w:tc>
          <w:tcPr>
            <w:tcW w:w="3479" w:type="dxa"/>
            <w:tcBorders>
              <w:top w:val="nil"/>
              <w:left w:val="nil"/>
              <w:bottom w:val="single" w:color="auto" w:sz="4" w:space="0"/>
              <w:right w:val="single" w:color="auto" w:sz="4" w:space="0"/>
            </w:tcBorders>
            <w:noWrap w:val="0"/>
            <w:vAlign w:val="center"/>
          </w:tcPr>
          <w:p w14:paraId="29A44B7C">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当年新增专业名单（国标专业）</w:t>
            </w:r>
          </w:p>
        </w:tc>
        <w:tc>
          <w:tcPr>
            <w:tcW w:w="2289" w:type="dxa"/>
            <w:tcBorders>
              <w:top w:val="nil"/>
              <w:left w:val="nil"/>
              <w:bottom w:val="single" w:color="auto" w:sz="4" w:space="0"/>
              <w:right w:val="single" w:color="auto" w:sz="4" w:space="0"/>
            </w:tcBorders>
            <w:noWrap w:val="0"/>
            <w:vAlign w:val="center"/>
          </w:tcPr>
          <w:p w14:paraId="5F05E132">
            <w:pPr>
              <w:jc w:val="center"/>
              <w:rPr>
                <w:rFonts w:hint="default" w:ascii="宋体" w:hAnsi="宋体" w:eastAsia="宋体" w:cs="宋体"/>
                <w:color w:val="000000"/>
                <w:highlight w:val="none"/>
                <w:lang w:val="en-US" w:eastAsia="zh-CN"/>
              </w:rPr>
            </w:pPr>
          </w:p>
        </w:tc>
        <w:tc>
          <w:tcPr>
            <w:tcW w:w="1940" w:type="dxa"/>
            <w:tcBorders>
              <w:top w:val="nil"/>
              <w:left w:val="nil"/>
              <w:bottom w:val="single" w:color="auto" w:sz="4" w:space="0"/>
              <w:right w:val="single" w:color="auto" w:sz="4" w:space="0"/>
            </w:tcBorders>
            <w:noWrap w:val="0"/>
            <w:vAlign w:val="center"/>
          </w:tcPr>
          <w:p w14:paraId="008CDA61">
            <w:pPr>
              <w:rPr>
                <w:rFonts w:ascii="宋体" w:hAnsi="宋体" w:cs="宋体"/>
                <w:sz w:val="24"/>
                <w:szCs w:val="24"/>
                <w:highlight w:val="none"/>
              </w:rPr>
            </w:pPr>
          </w:p>
        </w:tc>
      </w:tr>
      <w:tr w14:paraId="3506C84F">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1582896C">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3-4</w:t>
            </w:r>
          </w:p>
        </w:tc>
        <w:tc>
          <w:tcPr>
            <w:tcW w:w="3479" w:type="dxa"/>
            <w:tcBorders>
              <w:top w:val="nil"/>
              <w:left w:val="nil"/>
              <w:bottom w:val="single" w:color="auto" w:sz="4" w:space="0"/>
              <w:right w:val="single" w:color="auto" w:sz="4" w:space="0"/>
            </w:tcBorders>
            <w:noWrap w:val="0"/>
            <w:vAlign w:val="center"/>
          </w:tcPr>
          <w:p w14:paraId="0333FD43">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当年停招专业名单（国标专业）</w:t>
            </w:r>
          </w:p>
        </w:tc>
        <w:tc>
          <w:tcPr>
            <w:tcW w:w="2289" w:type="dxa"/>
            <w:tcBorders>
              <w:top w:val="nil"/>
              <w:left w:val="nil"/>
              <w:bottom w:val="single" w:color="auto" w:sz="4" w:space="0"/>
              <w:right w:val="single" w:color="auto" w:sz="4" w:space="0"/>
            </w:tcBorders>
            <w:noWrap w:val="0"/>
            <w:vAlign w:val="center"/>
          </w:tcPr>
          <w:p w14:paraId="666D11BD">
            <w:pPr>
              <w:jc w:val="center"/>
              <w:rPr>
                <w:rFonts w:hint="eastAsia" w:ascii="宋体" w:hAnsi="宋体" w:eastAsia="宋体" w:cs="宋体"/>
                <w:color w:val="000000"/>
                <w:highlight w:val="none"/>
                <w:lang w:val="en-US" w:eastAsia="zh-CN"/>
              </w:rPr>
            </w:pPr>
          </w:p>
        </w:tc>
        <w:tc>
          <w:tcPr>
            <w:tcW w:w="1940" w:type="dxa"/>
            <w:tcBorders>
              <w:top w:val="nil"/>
              <w:left w:val="nil"/>
              <w:bottom w:val="single" w:color="auto" w:sz="4" w:space="0"/>
              <w:right w:val="single" w:color="auto" w:sz="4" w:space="0"/>
            </w:tcBorders>
            <w:noWrap w:val="0"/>
            <w:vAlign w:val="center"/>
          </w:tcPr>
          <w:p w14:paraId="681FA3D6">
            <w:pPr>
              <w:keepNext w:val="0"/>
              <w:keepLines w:val="0"/>
              <w:widowControl/>
              <w:suppressLineNumbers w:val="0"/>
              <w:jc w:val="left"/>
              <w:textAlignment w:val="center"/>
              <w:rPr>
                <w:rFonts w:ascii="宋体" w:hAnsi="宋体" w:cs="宋体"/>
                <w:sz w:val="24"/>
                <w:szCs w:val="24"/>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按照表1-4-1中招生状态为当年停招状态的国标专业，校内专业0个，国标专业0个</w:t>
            </w:r>
          </w:p>
        </w:tc>
      </w:tr>
      <w:tr w14:paraId="728D252B">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29DD110B">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4</w:t>
            </w:r>
          </w:p>
        </w:tc>
        <w:tc>
          <w:tcPr>
            <w:tcW w:w="3479" w:type="dxa"/>
            <w:tcBorders>
              <w:top w:val="nil"/>
              <w:left w:val="nil"/>
              <w:bottom w:val="single" w:color="auto" w:sz="4" w:space="0"/>
              <w:right w:val="single" w:color="auto" w:sz="4" w:space="0"/>
            </w:tcBorders>
            <w:noWrap w:val="0"/>
            <w:vAlign w:val="center"/>
          </w:tcPr>
          <w:p w14:paraId="54C8C95A">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生师比</w:t>
            </w:r>
          </w:p>
        </w:tc>
        <w:tc>
          <w:tcPr>
            <w:tcW w:w="2289" w:type="dxa"/>
            <w:tcBorders>
              <w:top w:val="nil"/>
              <w:left w:val="nil"/>
              <w:bottom w:val="single" w:color="auto" w:sz="4" w:space="0"/>
              <w:right w:val="single" w:color="auto" w:sz="4" w:space="0"/>
            </w:tcBorders>
            <w:noWrap w:val="0"/>
            <w:vAlign w:val="center"/>
          </w:tcPr>
          <w:p w14:paraId="0327ADCC">
            <w:pPr>
              <w:keepNext w:val="0"/>
              <w:keepLines w:val="0"/>
              <w:widowControl/>
              <w:suppressLineNumbers w:val="0"/>
              <w:jc w:val="center"/>
              <w:textAlignment w:val="center"/>
              <w:rPr>
                <w:rFonts w:hint="default" w:ascii="宋体" w:hAnsi="宋体" w:eastAsia="宋体" w:cs="宋体"/>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17.61</w:t>
            </w:r>
          </w:p>
        </w:tc>
        <w:tc>
          <w:tcPr>
            <w:tcW w:w="1940" w:type="dxa"/>
            <w:tcBorders>
              <w:top w:val="nil"/>
              <w:left w:val="nil"/>
              <w:bottom w:val="single" w:color="auto" w:sz="4" w:space="0"/>
              <w:right w:val="single" w:color="auto" w:sz="4" w:space="0"/>
            </w:tcBorders>
            <w:noWrap w:val="0"/>
            <w:vAlign w:val="center"/>
          </w:tcPr>
          <w:p w14:paraId="7C016A9E">
            <w:pPr>
              <w:rPr>
                <w:rFonts w:ascii="宋体" w:hAnsi="宋体" w:cs="宋体"/>
                <w:sz w:val="20"/>
                <w:szCs w:val="20"/>
                <w:highlight w:val="none"/>
              </w:rPr>
            </w:pPr>
          </w:p>
        </w:tc>
      </w:tr>
      <w:tr w14:paraId="5416BEDD">
        <w:tblPrEx>
          <w:tblCellMar>
            <w:top w:w="0" w:type="dxa"/>
            <w:left w:w="108" w:type="dxa"/>
            <w:bottom w:w="0" w:type="dxa"/>
            <w:right w:w="108" w:type="dxa"/>
          </w:tblCellMar>
        </w:tblPrEx>
        <w:trPr>
          <w:trHeight w:val="645" w:hRule="atLeast"/>
          <w:jc w:val="center"/>
        </w:trPr>
        <w:tc>
          <w:tcPr>
            <w:tcW w:w="940" w:type="dxa"/>
            <w:tcBorders>
              <w:top w:val="nil"/>
              <w:left w:val="single" w:color="auto" w:sz="4" w:space="0"/>
              <w:bottom w:val="single" w:color="auto" w:sz="4" w:space="0"/>
              <w:right w:val="single" w:color="auto" w:sz="4" w:space="0"/>
            </w:tcBorders>
            <w:noWrap w:val="0"/>
            <w:vAlign w:val="center"/>
          </w:tcPr>
          <w:p w14:paraId="5D5E9650">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5</w:t>
            </w:r>
          </w:p>
        </w:tc>
        <w:tc>
          <w:tcPr>
            <w:tcW w:w="3479" w:type="dxa"/>
            <w:tcBorders>
              <w:top w:val="nil"/>
              <w:left w:val="nil"/>
              <w:bottom w:val="single" w:color="auto" w:sz="4" w:space="0"/>
              <w:right w:val="single" w:color="auto" w:sz="4" w:space="0"/>
            </w:tcBorders>
            <w:noWrap w:val="0"/>
            <w:vAlign w:val="center"/>
          </w:tcPr>
          <w:p w14:paraId="336670E7">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生均教学科研仪器设备值（万元）</w:t>
            </w:r>
          </w:p>
        </w:tc>
        <w:tc>
          <w:tcPr>
            <w:tcW w:w="2289" w:type="dxa"/>
            <w:tcBorders>
              <w:top w:val="nil"/>
              <w:left w:val="nil"/>
              <w:bottom w:val="single" w:color="auto" w:sz="4" w:space="0"/>
              <w:right w:val="single" w:color="auto" w:sz="4" w:space="0"/>
            </w:tcBorders>
            <w:noWrap w:val="0"/>
            <w:vAlign w:val="center"/>
          </w:tcPr>
          <w:p w14:paraId="21A46CC4">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0.89</w:t>
            </w:r>
          </w:p>
        </w:tc>
        <w:tc>
          <w:tcPr>
            <w:tcW w:w="1940" w:type="dxa"/>
            <w:tcBorders>
              <w:top w:val="nil"/>
              <w:left w:val="nil"/>
              <w:bottom w:val="single" w:color="auto" w:sz="4" w:space="0"/>
              <w:right w:val="single" w:color="auto" w:sz="4" w:space="0"/>
            </w:tcBorders>
            <w:noWrap w:val="0"/>
            <w:vAlign w:val="bottom"/>
          </w:tcPr>
          <w:p w14:paraId="1126BDB0">
            <w:pPr>
              <w:rPr>
                <w:rFonts w:ascii="宋体" w:hAnsi="宋体" w:cs="宋体"/>
                <w:sz w:val="24"/>
                <w:szCs w:val="24"/>
                <w:highlight w:val="none"/>
              </w:rPr>
            </w:pPr>
          </w:p>
        </w:tc>
      </w:tr>
      <w:tr w14:paraId="15818E37">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4E3AD0D0">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6</w:t>
            </w:r>
          </w:p>
        </w:tc>
        <w:tc>
          <w:tcPr>
            <w:tcW w:w="3479" w:type="dxa"/>
            <w:tcBorders>
              <w:top w:val="nil"/>
              <w:left w:val="nil"/>
              <w:bottom w:val="single" w:color="auto" w:sz="4" w:space="0"/>
              <w:right w:val="single" w:color="auto" w:sz="4" w:space="0"/>
            </w:tcBorders>
            <w:noWrap w:val="0"/>
            <w:vAlign w:val="center"/>
          </w:tcPr>
          <w:p w14:paraId="75DA5DAF">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当年新增教学科研仪器设备值（万元）</w:t>
            </w:r>
          </w:p>
        </w:tc>
        <w:tc>
          <w:tcPr>
            <w:tcW w:w="2289" w:type="dxa"/>
            <w:tcBorders>
              <w:top w:val="nil"/>
              <w:left w:val="nil"/>
              <w:bottom w:val="single" w:color="auto" w:sz="4" w:space="0"/>
              <w:right w:val="single" w:color="auto" w:sz="4" w:space="0"/>
            </w:tcBorders>
            <w:noWrap w:val="0"/>
            <w:vAlign w:val="center"/>
          </w:tcPr>
          <w:p w14:paraId="40BA058A">
            <w:pPr>
              <w:keepNext w:val="0"/>
              <w:keepLines w:val="0"/>
              <w:widowControl/>
              <w:suppressLineNumbers w:val="0"/>
              <w:jc w:val="center"/>
              <w:textAlignment w:val="center"/>
              <w:rPr>
                <w:rFonts w:hint="eastAsia" w:ascii="宋体" w:hAnsi="宋体" w:cs="宋体"/>
                <w:color w:val="000000"/>
                <w:highlight w:val="none"/>
              </w:rPr>
            </w:pPr>
            <w:r>
              <w:rPr>
                <w:rFonts w:hint="eastAsia" w:ascii="宋体" w:hAnsi="宋体" w:eastAsia="宋体" w:cs="宋体"/>
                <w:i w:val="0"/>
                <w:iCs w:val="0"/>
                <w:snapToGrid w:val="0"/>
                <w:color w:val="000000"/>
                <w:kern w:val="0"/>
                <w:sz w:val="24"/>
                <w:szCs w:val="24"/>
                <w:highlight w:val="none"/>
                <w:u w:val="none"/>
                <w:lang w:val="en-US" w:eastAsia="zh-CN" w:bidi="ar"/>
              </w:rPr>
              <w:t>1388.07</w:t>
            </w:r>
          </w:p>
        </w:tc>
        <w:tc>
          <w:tcPr>
            <w:tcW w:w="1940" w:type="dxa"/>
            <w:tcBorders>
              <w:top w:val="nil"/>
              <w:left w:val="nil"/>
              <w:bottom w:val="single" w:color="auto" w:sz="4" w:space="0"/>
              <w:right w:val="single" w:color="auto" w:sz="4" w:space="0"/>
            </w:tcBorders>
            <w:noWrap w:val="0"/>
            <w:vAlign w:val="bottom"/>
          </w:tcPr>
          <w:p w14:paraId="78BD540C">
            <w:pPr>
              <w:rPr>
                <w:rFonts w:ascii="宋体" w:hAnsi="宋体" w:cs="宋体"/>
                <w:sz w:val="24"/>
                <w:szCs w:val="24"/>
                <w:highlight w:val="none"/>
              </w:rPr>
            </w:pPr>
          </w:p>
        </w:tc>
      </w:tr>
      <w:tr w14:paraId="458FE891">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6DC07574">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7</w:t>
            </w:r>
          </w:p>
        </w:tc>
        <w:tc>
          <w:tcPr>
            <w:tcW w:w="3479" w:type="dxa"/>
            <w:tcBorders>
              <w:top w:val="nil"/>
              <w:left w:val="nil"/>
              <w:bottom w:val="single" w:color="auto" w:sz="4" w:space="0"/>
              <w:right w:val="single" w:color="auto" w:sz="4" w:space="0"/>
            </w:tcBorders>
            <w:noWrap w:val="0"/>
            <w:vAlign w:val="center"/>
          </w:tcPr>
          <w:p w14:paraId="1D1D4B31">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生均纸质图书数（册）</w:t>
            </w:r>
          </w:p>
        </w:tc>
        <w:tc>
          <w:tcPr>
            <w:tcW w:w="2289" w:type="dxa"/>
            <w:tcBorders>
              <w:top w:val="nil"/>
              <w:left w:val="nil"/>
              <w:bottom w:val="single" w:color="auto" w:sz="4" w:space="0"/>
              <w:right w:val="single" w:color="auto" w:sz="4" w:space="0"/>
            </w:tcBorders>
            <w:noWrap w:val="0"/>
            <w:vAlign w:val="center"/>
          </w:tcPr>
          <w:p w14:paraId="455A2493">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122.76</w:t>
            </w:r>
          </w:p>
        </w:tc>
        <w:tc>
          <w:tcPr>
            <w:tcW w:w="1940" w:type="dxa"/>
            <w:tcBorders>
              <w:top w:val="nil"/>
              <w:left w:val="nil"/>
              <w:bottom w:val="single" w:color="auto" w:sz="4" w:space="0"/>
              <w:right w:val="single" w:color="auto" w:sz="4" w:space="0"/>
            </w:tcBorders>
            <w:noWrap w:val="0"/>
            <w:vAlign w:val="bottom"/>
          </w:tcPr>
          <w:p w14:paraId="3AF81337">
            <w:pPr>
              <w:rPr>
                <w:rFonts w:ascii="宋体" w:hAnsi="宋体" w:cs="宋体"/>
                <w:sz w:val="24"/>
                <w:szCs w:val="24"/>
                <w:highlight w:val="none"/>
              </w:rPr>
            </w:pPr>
          </w:p>
        </w:tc>
      </w:tr>
      <w:tr w14:paraId="4F96A5A5">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27DDE928">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8</w:t>
            </w:r>
          </w:p>
        </w:tc>
        <w:tc>
          <w:tcPr>
            <w:tcW w:w="3479" w:type="dxa"/>
            <w:tcBorders>
              <w:top w:val="nil"/>
              <w:left w:val="nil"/>
              <w:bottom w:val="single" w:color="auto" w:sz="4" w:space="0"/>
              <w:right w:val="single" w:color="auto" w:sz="4" w:space="0"/>
            </w:tcBorders>
            <w:noWrap w:val="0"/>
            <w:vAlign w:val="center"/>
          </w:tcPr>
          <w:p w14:paraId="124FA850">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电子期刊（册）</w:t>
            </w:r>
          </w:p>
        </w:tc>
        <w:tc>
          <w:tcPr>
            <w:tcW w:w="2289" w:type="dxa"/>
            <w:tcBorders>
              <w:top w:val="nil"/>
              <w:left w:val="nil"/>
              <w:bottom w:val="single" w:color="auto" w:sz="4" w:space="0"/>
              <w:right w:val="single" w:color="auto" w:sz="4" w:space="0"/>
            </w:tcBorders>
            <w:noWrap w:val="0"/>
            <w:vAlign w:val="center"/>
          </w:tcPr>
          <w:p w14:paraId="75178A1A">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146300</w:t>
            </w:r>
          </w:p>
        </w:tc>
        <w:tc>
          <w:tcPr>
            <w:tcW w:w="1940" w:type="dxa"/>
            <w:tcBorders>
              <w:top w:val="nil"/>
              <w:left w:val="nil"/>
              <w:bottom w:val="single" w:color="auto" w:sz="4" w:space="0"/>
              <w:right w:val="single" w:color="auto" w:sz="4" w:space="0"/>
            </w:tcBorders>
            <w:noWrap w:val="0"/>
            <w:vAlign w:val="bottom"/>
          </w:tcPr>
          <w:p w14:paraId="3AE70E7C">
            <w:pPr>
              <w:rPr>
                <w:rFonts w:ascii="宋体" w:hAnsi="宋体" w:cs="宋体"/>
                <w:sz w:val="24"/>
                <w:szCs w:val="24"/>
                <w:highlight w:val="none"/>
              </w:rPr>
            </w:pPr>
          </w:p>
        </w:tc>
      </w:tr>
      <w:tr w14:paraId="07CFADA2">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07EA4590">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9-1</w:t>
            </w:r>
          </w:p>
        </w:tc>
        <w:tc>
          <w:tcPr>
            <w:tcW w:w="3479" w:type="dxa"/>
            <w:tcBorders>
              <w:top w:val="nil"/>
              <w:left w:val="nil"/>
              <w:bottom w:val="single" w:color="auto" w:sz="4" w:space="0"/>
              <w:right w:val="single" w:color="auto" w:sz="4" w:space="0"/>
            </w:tcBorders>
            <w:noWrap w:val="0"/>
            <w:vAlign w:val="center"/>
          </w:tcPr>
          <w:p w14:paraId="5318B15A">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生均教学行政用房（m</w:t>
            </w:r>
            <w:r>
              <w:rPr>
                <w:rStyle w:val="35"/>
                <w:snapToGrid w:val="0"/>
                <w:color w:val="000000"/>
                <w:highlight w:val="none"/>
                <w:lang w:val="en-US" w:eastAsia="zh-CN" w:bidi="ar"/>
              </w:rPr>
              <w:t>2</w:t>
            </w:r>
            <w:r>
              <w:rPr>
                <w:rFonts w:hint="eastAsia" w:ascii="宋体" w:hAnsi="宋体" w:eastAsia="宋体" w:cs="宋体"/>
                <w:i w:val="0"/>
                <w:iCs w:val="0"/>
                <w:snapToGrid w:val="0"/>
                <w:color w:val="000000"/>
                <w:kern w:val="0"/>
                <w:sz w:val="22"/>
                <w:szCs w:val="22"/>
                <w:highlight w:val="none"/>
                <w:u w:val="none"/>
                <w:lang w:val="en-US" w:eastAsia="zh-CN" w:bidi="ar"/>
              </w:rPr>
              <w:t>）</w:t>
            </w:r>
          </w:p>
        </w:tc>
        <w:tc>
          <w:tcPr>
            <w:tcW w:w="2289" w:type="dxa"/>
            <w:tcBorders>
              <w:top w:val="nil"/>
              <w:left w:val="nil"/>
              <w:bottom w:val="single" w:color="auto" w:sz="4" w:space="0"/>
              <w:right w:val="single" w:color="auto" w:sz="4" w:space="0"/>
            </w:tcBorders>
            <w:noWrap w:val="0"/>
            <w:vAlign w:val="center"/>
          </w:tcPr>
          <w:p w14:paraId="06EE836F">
            <w:pPr>
              <w:keepNext w:val="0"/>
              <w:keepLines w:val="0"/>
              <w:widowControl/>
              <w:suppressLineNumbers w:val="0"/>
              <w:jc w:val="center"/>
              <w:textAlignment w:val="center"/>
              <w:rPr>
                <w:rFonts w:hint="default" w:ascii="宋体" w:hAnsi="宋体" w:cs="宋体"/>
                <w:color w:val="000000"/>
                <w:highlight w:val="none"/>
                <w:lang w:val="en-US"/>
              </w:rPr>
            </w:pPr>
            <w:r>
              <w:rPr>
                <w:rFonts w:hint="eastAsia" w:ascii="宋体" w:hAnsi="宋体" w:eastAsia="宋体" w:cs="宋体"/>
                <w:i w:val="0"/>
                <w:iCs w:val="0"/>
                <w:snapToGrid w:val="0"/>
                <w:color w:val="000000"/>
                <w:kern w:val="0"/>
                <w:sz w:val="24"/>
                <w:szCs w:val="24"/>
                <w:highlight w:val="none"/>
                <w:u w:val="none"/>
                <w:lang w:val="en-US" w:eastAsia="zh-CN" w:bidi="ar"/>
              </w:rPr>
              <w:t>11.72</w:t>
            </w:r>
          </w:p>
        </w:tc>
        <w:tc>
          <w:tcPr>
            <w:tcW w:w="1940" w:type="dxa"/>
            <w:tcBorders>
              <w:top w:val="nil"/>
              <w:left w:val="nil"/>
              <w:bottom w:val="single" w:color="auto" w:sz="4" w:space="0"/>
              <w:right w:val="single" w:color="auto" w:sz="4" w:space="0"/>
            </w:tcBorders>
            <w:noWrap w:val="0"/>
            <w:vAlign w:val="bottom"/>
          </w:tcPr>
          <w:p w14:paraId="3C1A794C">
            <w:pPr>
              <w:rPr>
                <w:rFonts w:ascii="宋体" w:hAnsi="宋体" w:cs="宋体"/>
                <w:sz w:val="24"/>
                <w:szCs w:val="24"/>
                <w:highlight w:val="none"/>
              </w:rPr>
            </w:pPr>
          </w:p>
        </w:tc>
      </w:tr>
      <w:tr w14:paraId="7A0178BB">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456399D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9-2</w:t>
            </w:r>
          </w:p>
        </w:tc>
        <w:tc>
          <w:tcPr>
            <w:tcW w:w="3479" w:type="dxa"/>
            <w:tcBorders>
              <w:top w:val="nil"/>
              <w:left w:val="nil"/>
              <w:bottom w:val="single" w:color="auto" w:sz="4" w:space="0"/>
              <w:right w:val="single" w:color="auto" w:sz="4" w:space="0"/>
            </w:tcBorders>
            <w:noWrap w:val="0"/>
            <w:vAlign w:val="center"/>
          </w:tcPr>
          <w:p w14:paraId="5801714E">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生均实验室面积（m</w:t>
            </w:r>
            <w:r>
              <w:rPr>
                <w:rStyle w:val="35"/>
                <w:snapToGrid w:val="0"/>
                <w:color w:val="000000"/>
                <w:highlight w:val="none"/>
                <w:lang w:val="en-US" w:eastAsia="zh-CN" w:bidi="ar"/>
              </w:rPr>
              <w:t>2</w:t>
            </w:r>
            <w:r>
              <w:rPr>
                <w:rFonts w:hint="eastAsia" w:ascii="宋体" w:hAnsi="宋体" w:eastAsia="宋体" w:cs="宋体"/>
                <w:i w:val="0"/>
                <w:iCs w:val="0"/>
                <w:snapToGrid w:val="0"/>
                <w:color w:val="000000"/>
                <w:kern w:val="0"/>
                <w:sz w:val="22"/>
                <w:szCs w:val="22"/>
                <w:highlight w:val="none"/>
                <w:u w:val="none"/>
                <w:lang w:val="en-US" w:eastAsia="zh-CN" w:bidi="ar"/>
              </w:rPr>
              <w:t>）</w:t>
            </w:r>
          </w:p>
        </w:tc>
        <w:tc>
          <w:tcPr>
            <w:tcW w:w="2289" w:type="dxa"/>
            <w:tcBorders>
              <w:top w:val="nil"/>
              <w:left w:val="nil"/>
              <w:bottom w:val="single" w:color="auto" w:sz="4" w:space="0"/>
              <w:right w:val="single" w:color="auto" w:sz="4" w:space="0"/>
            </w:tcBorders>
            <w:noWrap w:val="0"/>
            <w:vAlign w:val="center"/>
          </w:tcPr>
          <w:p w14:paraId="507046CC">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1.9</w:t>
            </w:r>
          </w:p>
        </w:tc>
        <w:tc>
          <w:tcPr>
            <w:tcW w:w="1940" w:type="dxa"/>
            <w:tcBorders>
              <w:top w:val="nil"/>
              <w:left w:val="nil"/>
              <w:bottom w:val="single" w:color="auto" w:sz="4" w:space="0"/>
              <w:right w:val="single" w:color="auto" w:sz="4" w:space="0"/>
            </w:tcBorders>
            <w:noWrap w:val="0"/>
            <w:vAlign w:val="center"/>
          </w:tcPr>
          <w:p w14:paraId="26ADB2EC">
            <w:pPr>
              <w:rPr>
                <w:rFonts w:ascii="宋体" w:hAnsi="宋体" w:cs="宋体"/>
                <w:sz w:val="24"/>
                <w:szCs w:val="24"/>
                <w:highlight w:val="none"/>
              </w:rPr>
            </w:pPr>
          </w:p>
        </w:tc>
      </w:tr>
      <w:tr w14:paraId="36229547">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1916478B">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10</w:t>
            </w:r>
          </w:p>
        </w:tc>
        <w:tc>
          <w:tcPr>
            <w:tcW w:w="3479" w:type="dxa"/>
            <w:tcBorders>
              <w:top w:val="nil"/>
              <w:left w:val="nil"/>
              <w:bottom w:val="single" w:color="auto" w:sz="4" w:space="0"/>
              <w:right w:val="single" w:color="auto" w:sz="4" w:space="0"/>
            </w:tcBorders>
            <w:noWrap w:val="0"/>
            <w:vAlign w:val="center"/>
          </w:tcPr>
          <w:p w14:paraId="25A84E53">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生均本科教学日常运行支出（元）</w:t>
            </w:r>
          </w:p>
        </w:tc>
        <w:tc>
          <w:tcPr>
            <w:tcW w:w="2289" w:type="dxa"/>
            <w:tcBorders>
              <w:top w:val="nil"/>
              <w:left w:val="nil"/>
              <w:bottom w:val="single" w:color="auto" w:sz="4" w:space="0"/>
              <w:right w:val="single" w:color="auto" w:sz="4" w:space="0"/>
            </w:tcBorders>
            <w:noWrap w:val="0"/>
            <w:vAlign w:val="center"/>
          </w:tcPr>
          <w:p w14:paraId="550487C0">
            <w:pPr>
              <w:keepNext w:val="0"/>
              <w:keepLines w:val="0"/>
              <w:widowControl/>
              <w:suppressLineNumbers w:val="0"/>
              <w:jc w:val="center"/>
              <w:textAlignment w:val="center"/>
              <w:rPr>
                <w:rFonts w:hint="default" w:ascii="宋体" w:hAnsi="宋体" w:cs="宋体"/>
                <w:color w:val="000000"/>
                <w:highlight w:val="none"/>
                <w:lang w:val="en-US"/>
              </w:rPr>
            </w:pPr>
            <w:r>
              <w:rPr>
                <w:rFonts w:hint="eastAsia" w:ascii="宋体" w:hAnsi="宋体" w:eastAsia="宋体" w:cs="宋体"/>
                <w:i w:val="0"/>
                <w:iCs w:val="0"/>
                <w:snapToGrid w:val="0"/>
                <w:color w:val="000000"/>
                <w:kern w:val="0"/>
                <w:sz w:val="24"/>
                <w:szCs w:val="24"/>
                <w:highlight w:val="none"/>
                <w:u w:val="none"/>
                <w:lang w:val="en-US" w:eastAsia="zh-CN" w:bidi="ar"/>
              </w:rPr>
              <w:t>2528.45</w:t>
            </w:r>
          </w:p>
        </w:tc>
        <w:tc>
          <w:tcPr>
            <w:tcW w:w="1940" w:type="dxa"/>
            <w:tcBorders>
              <w:top w:val="nil"/>
              <w:left w:val="nil"/>
              <w:bottom w:val="single" w:color="auto" w:sz="4" w:space="0"/>
              <w:right w:val="single" w:color="auto" w:sz="4" w:space="0"/>
            </w:tcBorders>
            <w:noWrap w:val="0"/>
            <w:vAlign w:val="bottom"/>
          </w:tcPr>
          <w:p w14:paraId="525EF402">
            <w:pPr>
              <w:rPr>
                <w:rFonts w:ascii="宋体" w:hAnsi="宋体" w:cs="宋体"/>
                <w:sz w:val="24"/>
                <w:szCs w:val="24"/>
                <w:highlight w:val="none"/>
              </w:rPr>
            </w:pPr>
          </w:p>
        </w:tc>
      </w:tr>
      <w:tr w14:paraId="6D0DD4F8">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5542ECF9">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11</w:t>
            </w:r>
          </w:p>
        </w:tc>
        <w:tc>
          <w:tcPr>
            <w:tcW w:w="3479" w:type="dxa"/>
            <w:tcBorders>
              <w:top w:val="nil"/>
              <w:left w:val="nil"/>
              <w:bottom w:val="single" w:color="auto" w:sz="4" w:space="0"/>
              <w:right w:val="single" w:color="auto" w:sz="4" w:space="0"/>
            </w:tcBorders>
            <w:noWrap w:val="0"/>
            <w:vAlign w:val="center"/>
          </w:tcPr>
          <w:p w14:paraId="79E6DE6B">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本科专项教学经费（万元）</w:t>
            </w:r>
          </w:p>
        </w:tc>
        <w:tc>
          <w:tcPr>
            <w:tcW w:w="2289" w:type="dxa"/>
            <w:tcBorders>
              <w:top w:val="nil"/>
              <w:left w:val="nil"/>
              <w:bottom w:val="single" w:color="auto" w:sz="4" w:space="0"/>
              <w:right w:val="single" w:color="auto" w:sz="4" w:space="0"/>
            </w:tcBorders>
            <w:noWrap w:val="0"/>
            <w:vAlign w:val="center"/>
          </w:tcPr>
          <w:p w14:paraId="66458924">
            <w:pPr>
              <w:keepNext w:val="0"/>
              <w:keepLines w:val="0"/>
              <w:widowControl/>
              <w:suppressLineNumbers w:val="0"/>
              <w:jc w:val="center"/>
              <w:textAlignment w:val="center"/>
              <w:rPr>
                <w:rFonts w:hint="default" w:ascii="宋体" w:hAnsi="宋体" w:cs="宋体"/>
                <w:color w:val="000000"/>
                <w:highlight w:val="none"/>
                <w:lang w:val="en-US"/>
              </w:rPr>
            </w:pPr>
            <w:r>
              <w:rPr>
                <w:rFonts w:hint="eastAsia" w:ascii="宋体" w:hAnsi="宋体" w:eastAsia="宋体" w:cs="宋体"/>
                <w:i w:val="0"/>
                <w:iCs w:val="0"/>
                <w:snapToGrid w:val="0"/>
                <w:color w:val="000000"/>
                <w:kern w:val="0"/>
                <w:sz w:val="24"/>
                <w:szCs w:val="24"/>
                <w:highlight w:val="none"/>
                <w:u w:val="none"/>
                <w:lang w:val="en-US" w:eastAsia="zh-CN" w:bidi="ar"/>
              </w:rPr>
              <w:t>1254</w:t>
            </w:r>
          </w:p>
        </w:tc>
        <w:tc>
          <w:tcPr>
            <w:tcW w:w="1940" w:type="dxa"/>
            <w:tcBorders>
              <w:top w:val="nil"/>
              <w:left w:val="nil"/>
              <w:bottom w:val="single" w:color="auto" w:sz="4" w:space="0"/>
              <w:right w:val="single" w:color="auto" w:sz="4" w:space="0"/>
            </w:tcBorders>
            <w:noWrap w:val="0"/>
            <w:vAlign w:val="bottom"/>
          </w:tcPr>
          <w:p w14:paraId="74420ADD">
            <w:pPr>
              <w:rPr>
                <w:rFonts w:ascii="宋体" w:hAnsi="宋体" w:cs="宋体"/>
                <w:sz w:val="24"/>
                <w:szCs w:val="24"/>
                <w:highlight w:val="none"/>
              </w:rPr>
            </w:pPr>
          </w:p>
        </w:tc>
      </w:tr>
      <w:tr w14:paraId="3916C2C6">
        <w:tblPrEx>
          <w:tblCellMar>
            <w:top w:w="0" w:type="dxa"/>
            <w:left w:w="108" w:type="dxa"/>
            <w:bottom w:w="0" w:type="dxa"/>
            <w:right w:w="108" w:type="dxa"/>
          </w:tblCellMar>
        </w:tblPrEx>
        <w:trPr>
          <w:trHeight w:val="4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0800377C">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12</w:t>
            </w:r>
          </w:p>
        </w:tc>
        <w:tc>
          <w:tcPr>
            <w:tcW w:w="3479" w:type="dxa"/>
            <w:tcBorders>
              <w:top w:val="single" w:color="auto" w:sz="4" w:space="0"/>
              <w:left w:val="single" w:color="auto" w:sz="4" w:space="0"/>
              <w:bottom w:val="single" w:color="auto" w:sz="4" w:space="0"/>
              <w:right w:val="single" w:color="auto" w:sz="4" w:space="0"/>
            </w:tcBorders>
            <w:noWrap w:val="0"/>
            <w:vAlign w:val="center"/>
          </w:tcPr>
          <w:p w14:paraId="50974BBF">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生均本科实验经费（元）</w:t>
            </w:r>
          </w:p>
        </w:tc>
        <w:tc>
          <w:tcPr>
            <w:tcW w:w="2289" w:type="dxa"/>
            <w:tcBorders>
              <w:top w:val="single" w:color="auto" w:sz="4" w:space="0"/>
              <w:left w:val="single" w:color="auto" w:sz="4" w:space="0"/>
              <w:bottom w:val="single" w:color="auto" w:sz="4" w:space="0"/>
              <w:right w:val="single" w:color="auto" w:sz="4" w:space="0"/>
            </w:tcBorders>
            <w:noWrap w:val="0"/>
            <w:vAlign w:val="center"/>
          </w:tcPr>
          <w:p w14:paraId="0C13EAA8">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539.94</w:t>
            </w:r>
          </w:p>
        </w:tc>
        <w:tc>
          <w:tcPr>
            <w:tcW w:w="1940" w:type="dxa"/>
            <w:tcBorders>
              <w:top w:val="single" w:color="auto" w:sz="4" w:space="0"/>
              <w:left w:val="single" w:color="auto" w:sz="4" w:space="0"/>
              <w:bottom w:val="single" w:color="auto" w:sz="4" w:space="0"/>
              <w:right w:val="single" w:color="auto" w:sz="4" w:space="0"/>
            </w:tcBorders>
            <w:noWrap w:val="0"/>
            <w:vAlign w:val="bottom"/>
          </w:tcPr>
          <w:p w14:paraId="13F0E043">
            <w:pPr>
              <w:jc w:val="both"/>
              <w:rPr>
                <w:rFonts w:ascii="宋体" w:hAnsi="宋体" w:cs="宋体"/>
                <w:sz w:val="24"/>
                <w:szCs w:val="24"/>
                <w:highlight w:val="none"/>
              </w:rPr>
            </w:pPr>
          </w:p>
        </w:tc>
      </w:tr>
      <w:tr w14:paraId="382A8E56">
        <w:tblPrEx>
          <w:tblCellMar>
            <w:top w:w="0" w:type="dxa"/>
            <w:left w:w="108" w:type="dxa"/>
            <w:bottom w:w="0" w:type="dxa"/>
            <w:right w:w="108" w:type="dxa"/>
          </w:tblCellMar>
        </w:tblPrEx>
        <w:trPr>
          <w:trHeight w:val="4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49F1BF68">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13</w:t>
            </w:r>
          </w:p>
        </w:tc>
        <w:tc>
          <w:tcPr>
            <w:tcW w:w="3479" w:type="dxa"/>
            <w:tcBorders>
              <w:top w:val="single" w:color="auto" w:sz="4" w:space="0"/>
              <w:left w:val="single" w:color="auto" w:sz="4" w:space="0"/>
              <w:bottom w:val="single" w:color="auto" w:sz="4" w:space="0"/>
              <w:right w:val="single" w:color="auto" w:sz="4" w:space="0"/>
            </w:tcBorders>
            <w:noWrap w:val="0"/>
            <w:vAlign w:val="center"/>
          </w:tcPr>
          <w:p w14:paraId="2CBE1F86">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生均本科实习经费（元）</w:t>
            </w:r>
          </w:p>
        </w:tc>
        <w:tc>
          <w:tcPr>
            <w:tcW w:w="2289" w:type="dxa"/>
            <w:tcBorders>
              <w:top w:val="single" w:color="auto" w:sz="4" w:space="0"/>
              <w:left w:val="single" w:color="auto" w:sz="4" w:space="0"/>
              <w:bottom w:val="single" w:color="auto" w:sz="4" w:space="0"/>
              <w:right w:val="single" w:color="auto" w:sz="4" w:space="0"/>
            </w:tcBorders>
            <w:noWrap w:val="0"/>
            <w:vAlign w:val="center"/>
          </w:tcPr>
          <w:p w14:paraId="7895EE1A">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246.66</w:t>
            </w:r>
          </w:p>
        </w:tc>
        <w:tc>
          <w:tcPr>
            <w:tcW w:w="1940" w:type="dxa"/>
            <w:tcBorders>
              <w:top w:val="single" w:color="auto" w:sz="4" w:space="0"/>
              <w:left w:val="single" w:color="auto" w:sz="4" w:space="0"/>
              <w:bottom w:val="single" w:color="auto" w:sz="4" w:space="0"/>
              <w:right w:val="single" w:color="auto" w:sz="4" w:space="0"/>
            </w:tcBorders>
            <w:noWrap w:val="0"/>
            <w:vAlign w:val="bottom"/>
          </w:tcPr>
          <w:p w14:paraId="5B3F4E44">
            <w:pPr>
              <w:rPr>
                <w:rFonts w:ascii="宋体" w:hAnsi="宋体" w:cs="宋体"/>
                <w:sz w:val="24"/>
                <w:szCs w:val="24"/>
                <w:highlight w:val="none"/>
              </w:rPr>
            </w:pPr>
          </w:p>
        </w:tc>
      </w:tr>
      <w:tr w14:paraId="0C795D13">
        <w:tblPrEx>
          <w:tblCellMar>
            <w:top w:w="0" w:type="dxa"/>
            <w:left w:w="108" w:type="dxa"/>
            <w:bottom w:w="0" w:type="dxa"/>
            <w:right w:w="108" w:type="dxa"/>
          </w:tblCellMar>
        </w:tblPrEx>
        <w:trPr>
          <w:trHeight w:val="480" w:hRule="atLeast"/>
          <w:jc w:val="center"/>
        </w:trPr>
        <w:tc>
          <w:tcPr>
            <w:tcW w:w="940" w:type="dxa"/>
            <w:tcBorders>
              <w:top w:val="single" w:color="auto" w:sz="4" w:space="0"/>
              <w:left w:val="single" w:color="auto" w:sz="4" w:space="0"/>
              <w:bottom w:val="single" w:color="auto" w:sz="4" w:space="0"/>
              <w:right w:val="single" w:color="auto" w:sz="4" w:space="0"/>
            </w:tcBorders>
            <w:noWrap w:val="0"/>
            <w:vAlign w:val="center"/>
          </w:tcPr>
          <w:p w14:paraId="7F5A01A9">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14</w:t>
            </w:r>
          </w:p>
        </w:tc>
        <w:tc>
          <w:tcPr>
            <w:tcW w:w="3479" w:type="dxa"/>
            <w:tcBorders>
              <w:top w:val="single" w:color="auto" w:sz="4" w:space="0"/>
              <w:left w:val="nil"/>
              <w:bottom w:val="single" w:color="auto" w:sz="4" w:space="0"/>
              <w:right w:val="single" w:color="auto" w:sz="4" w:space="0"/>
            </w:tcBorders>
            <w:noWrap w:val="0"/>
            <w:vAlign w:val="center"/>
          </w:tcPr>
          <w:p w14:paraId="1328EAD3">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全校开设课程总门数</w:t>
            </w:r>
          </w:p>
        </w:tc>
        <w:tc>
          <w:tcPr>
            <w:tcW w:w="2289" w:type="dxa"/>
            <w:tcBorders>
              <w:top w:val="single" w:color="auto" w:sz="4" w:space="0"/>
              <w:left w:val="nil"/>
              <w:bottom w:val="single" w:color="auto" w:sz="4" w:space="0"/>
              <w:right w:val="single" w:color="auto" w:sz="4" w:space="0"/>
            </w:tcBorders>
            <w:noWrap w:val="0"/>
            <w:vAlign w:val="center"/>
          </w:tcPr>
          <w:p w14:paraId="29D59F2C">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949</w:t>
            </w:r>
          </w:p>
        </w:tc>
        <w:tc>
          <w:tcPr>
            <w:tcW w:w="1940" w:type="dxa"/>
            <w:tcBorders>
              <w:top w:val="single" w:color="auto" w:sz="4" w:space="0"/>
              <w:left w:val="nil"/>
              <w:bottom w:val="single" w:color="auto" w:sz="4" w:space="0"/>
              <w:right w:val="single" w:color="auto" w:sz="4" w:space="0"/>
            </w:tcBorders>
            <w:noWrap w:val="0"/>
            <w:vAlign w:val="bottom"/>
          </w:tcPr>
          <w:p w14:paraId="0741EFFB">
            <w:pPr>
              <w:rPr>
                <w:rFonts w:ascii="宋体" w:hAnsi="宋体" w:cs="宋体"/>
                <w:sz w:val="24"/>
                <w:szCs w:val="24"/>
                <w:highlight w:val="none"/>
              </w:rPr>
            </w:pPr>
          </w:p>
        </w:tc>
      </w:tr>
      <w:tr w14:paraId="5F790BD2">
        <w:tblPrEx>
          <w:tblCellMar>
            <w:top w:w="0" w:type="dxa"/>
            <w:left w:w="108" w:type="dxa"/>
            <w:bottom w:w="0" w:type="dxa"/>
            <w:right w:w="108" w:type="dxa"/>
          </w:tblCellMar>
        </w:tblPrEx>
        <w:trPr>
          <w:trHeight w:val="840" w:hRule="atLeast"/>
          <w:jc w:val="center"/>
        </w:trPr>
        <w:tc>
          <w:tcPr>
            <w:tcW w:w="940" w:type="dxa"/>
            <w:tcBorders>
              <w:top w:val="nil"/>
              <w:left w:val="single" w:color="auto" w:sz="4" w:space="0"/>
              <w:bottom w:val="single" w:color="auto" w:sz="4" w:space="0"/>
              <w:right w:val="single" w:color="auto" w:sz="4" w:space="0"/>
            </w:tcBorders>
            <w:noWrap w:val="0"/>
            <w:vAlign w:val="center"/>
          </w:tcPr>
          <w:p w14:paraId="6F1460F6">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15</w:t>
            </w:r>
          </w:p>
        </w:tc>
        <w:tc>
          <w:tcPr>
            <w:tcW w:w="3479" w:type="dxa"/>
            <w:tcBorders>
              <w:top w:val="nil"/>
              <w:left w:val="nil"/>
              <w:bottom w:val="single" w:color="auto" w:sz="4" w:space="0"/>
              <w:right w:val="single" w:color="auto" w:sz="4" w:space="0"/>
            </w:tcBorders>
            <w:noWrap w:val="0"/>
            <w:vAlign w:val="center"/>
          </w:tcPr>
          <w:p w14:paraId="1FE684C5">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实践教学学分占总学分比例（人才培养方案中)</w:t>
            </w:r>
          </w:p>
        </w:tc>
        <w:tc>
          <w:tcPr>
            <w:tcW w:w="2289" w:type="dxa"/>
            <w:tcBorders>
              <w:top w:val="nil"/>
              <w:left w:val="nil"/>
              <w:bottom w:val="single" w:color="auto" w:sz="4" w:space="0"/>
              <w:right w:val="single" w:color="auto" w:sz="4" w:space="0"/>
            </w:tcBorders>
            <w:noWrap w:val="0"/>
            <w:vAlign w:val="center"/>
          </w:tcPr>
          <w:p w14:paraId="7A0AB140">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37.37</w:t>
            </w:r>
          </w:p>
        </w:tc>
        <w:tc>
          <w:tcPr>
            <w:tcW w:w="1940" w:type="dxa"/>
            <w:tcBorders>
              <w:top w:val="nil"/>
              <w:left w:val="nil"/>
              <w:bottom w:val="single" w:color="auto" w:sz="4" w:space="0"/>
              <w:right w:val="single" w:color="auto" w:sz="4" w:space="0"/>
            </w:tcBorders>
            <w:noWrap w:val="0"/>
            <w:vAlign w:val="center"/>
          </w:tcPr>
          <w:p w14:paraId="32DA067F">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质量报告中第五项实践教学</w:t>
            </w:r>
          </w:p>
        </w:tc>
      </w:tr>
      <w:tr w14:paraId="12880C70">
        <w:tblPrEx>
          <w:tblCellMar>
            <w:top w:w="0" w:type="dxa"/>
            <w:left w:w="108" w:type="dxa"/>
            <w:bottom w:w="0" w:type="dxa"/>
            <w:right w:w="108" w:type="dxa"/>
          </w:tblCellMar>
        </w:tblPrEx>
        <w:trPr>
          <w:trHeight w:val="735" w:hRule="atLeast"/>
          <w:jc w:val="center"/>
        </w:trPr>
        <w:tc>
          <w:tcPr>
            <w:tcW w:w="940" w:type="dxa"/>
            <w:tcBorders>
              <w:top w:val="nil"/>
              <w:left w:val="single" w:color="auto" w:sz="4" w:space="0"/>
              <w:bottom w:val="single" w:color="auto" w:sz="4" w:space="0"/>
              <w:right w:val="single" w:color="auto" w:sz="4" w:space="0"/>
            </w:tcBorders>
            <w:noWrap w:val="0"/>
            <w:vAlign w:val="center"/>
          </w:tcPr>
          <w:p w14:paraId="2E7648EC">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16</w:t>
            </w:r>
          </w:p>
        </w:tc>
        <w:tc>
          <w:tcPr>
            <w:tcW w:w="3479" w:type="dxa"/>
            <w:tcBorders>
              <w:top w:val="nil"/>
              <w:left w:val="nil"/>
              <w:bottom w:val="single" w:color="auto" w:sz="4" w:space="0"/>
              <w:right w:val="single" w:color="auto" w:sz="4" w:space="0"/>
            </w:tcBorders>
            <w:noWrap w:val="0"/>
            <w:vAlign w:val="center"/>
          </w:tcPr>
          <w:p w14:paraId="2934B022">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选修课学分占总学分比例（人才培养方案中)</w:t>
            </w:r>
          </w:p>
        </w:tc>
        <w:tc>
          <w:tcPr>
            <w:tcW w:w="2289" w:type="dxa"/>
            <w:tcBorders>
              <w:top w:val="nil"/>
              <w:left w:val="nil"/>
              <w:bottom w:val="single" w:color="auto" w:sz="4" w:space="0"/>
              <w:right w:val="single" w:color="auto" w:sz="4" w:space="0"/>
            </w:tcBorders>
            <w:noWrap w:val="0"/>
            <w:vAlign w:val="center"/>
          </w:tcPr>
          <w:p w14:paraId="577216E1">
            <w:pPr>
              <w:keepNext w:val="0"/>
              <w:keepLines w:val="0"/>
              <w:widowControl/>
              <w:suppressLineNumbers w:val="0"/>
              <w:jc w:val="center"/>
              <w:textAlignment w:val="center"/>
              <w:rPr>
                <w:rFonts w:hint="eastAsia"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15.52</w:t>
            </w:r>
          </w:p>
        </w:tc>
        <w:tc>
          <w:tcPr>
            <w:tcW w:w="1940" w:type="dxa"/>
            <w:tcBorders>
              <w:top w:val="nil"/>
              <w:left w:val="nil"/>
              <w:bottom w:val="single" w:color="auto" w:sz="4" w:space="0"/>
              <w:right w:val="single" w:color="auto" w:sz="4" w:space="0"/>
            </w:tcBorders>
            <w:noWrap w:val="0"/>
            <w:vAlign w:val="center"/>
          </w:tcPr>
          <w:p w14:paraId="248AEB31">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分专业选修课学分占总学分比例见附表5</w:t>
            </w:r>
          </w:p>
        </w:tc>
      </w:tr>
      <w:tr w14:paraId="351EB8C5">
        <w:tblPrEx>
          <w:tblCellMar>
            <w:top w:w="0" w:type="dxa"/>
            <w:left w:w="108" w:type="dxa"/>
            <w:bottom w:w="0" w:type="dxa"/>
            <w:right w:w="108" w:type="dxa"/>
          </w:tblCellMar>
        </w:tblPrEx>
        <w:trPr>
          <w:trHeight w:val="735" w:hRule="atLeast"/>
          <w:jc w:val="center"/>
        </w:trPr>
        <w:tc>
          <w:tcPr>
            <w:tcW w:w="940" w:type="dxa"/>
            <w:tcBorders>
              <w:top w:val="nil"/>
              <w:left w:val="single" w:color="auto" w:sz="4" w:space="0"/>
              <w:bottom w:val="single" w:color="auto" w:sz="4" w:space="0"/>
              <w:right w:val="single" w:color="auto" w:sz="4" w:space="0"/>
            </w:tcBorders>
            <w:noWrap w:val="0"/>
            <w:vAlign w:val="center"/>
          </w:tcPr>
          <w:p w14:paraId="19C57EB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17</w:t>
            </w:r>
          </w:p>
        </w:tc>
        <w:tc>
          <w:tcPr>
            <w:tcW w:w="3479" w:type="dxa"/>
            <w:tcBorders>
              <w:top w:val="nil"/>
              <w:left w:val="nil"/>
              <w:bottom w:val="single" w:color="auto" w:sz="4" w:space="0"/>
              <w:right w:val="single" w:color="auto" w:sz="4" w:space="0"/>
            </w:tcBorders>
            <w:noWrap w:val="0"/>
            <w:vAlign w:val="center"/>
          </w:tcPr>
          <w:p w14:paraId="0C6F6D5B">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主讲本科课程的教授占教授总数的比例（不含讲座）</w:t>
            </w:r>
          </w:p>
        </w:tc>
        <w:tc>
          <w:tcPr>
            <w:tcW w:w="2289" w:type="dxa"/>
            <w:tcBorders>
              <w:top w:val="nil"/>
              <w:left w:val="nil"/>
              <w:bottom w:val="single" w:color="auto" w:sz="4" w:space="0"/>
              <w:right w:val="single" w:color="auto" w:sz="4" w:space="0"/>
            </w:tcBorders>
            <w:noWrap w:val="0"/>
            <w:vAlign w:val="center"/>
          </w:tcPr>
          <w:p w14:paraId="46E05C81">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68.42</w:t>
            </w:r>
          </w:p>
        </w:tc>
        <w:tc>
          <w:tcPr>
            <w:tcW w:w="1940" w:type="dxa"/>
            <w:tcBorders>
              <w:top w:val="nil"/>
              <w:left w:val="nil"/>
              <w:bottom w:val="single" w:color="auto" w:sz="4" w:space="0"/>
              <w:right w:val="single" w:color="auto" w:sz="4" w:space="0"/>
            </w:tcBorders>
            <w:noWrap w:val="0"/>
            <w:vAlign w:val="center"/>
          </w:tcPr>
          <w:p w14:paraId="7F3711AC">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分专业主讲本科课程的教授占教授总数的比例见附表6</w:t>
            </w:r>
          </w:p>
        </w:tc>
      </w:tr>
      <w:tr w14:paraId="55C04371">
        <w:tblPrEx>
          <w:tblCellMar>
            <w:top w:w="0" w:type="dxa"/>
            <w:left w:w="108" w:type="dxa"/>
            <w:bottom w:w="0" w:type="dxa"/>
            <w:right w:w="108" w:type="dxa"/>
          </w:tblCellMar>
        </w:tblPrEx>
        <w:trPr>
          <w:trHeight w:val="765" w:hRule="atLeast"/>
          <w:jc w:val="center"/>
        </w:trPr>
        <w:tc>
          <w:tcPr>
            <w:tcW w:w="940" w:type="dxa"/>
            <w:tcBorders>
              <w:top w:val="nil"/>
              <w:left w:val="single" w:color="auto" w:sz="4" w:space="0"/>
              <w:bottom w:val="single" w:color="auto" w:sz="4" w:space="0"/>
              <w:right w:val="single" w:color="auto" w:sz="4" w:space="0"/>
            </w:tcBorders>
            <w:noWrap w:val="0"/>
            <w:vAlign w:val="center"/>
          </w:tcPr>
          <w:p w14:paraId="54EE90A2">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18</w:t>
            </w:r>
          </w:p>
        </w:tc>
        <w:tc>
          <w:tcPr>
            <w:tcW w:w="3479" w:type="dxa"/>
            <w:tcBorders>
              <w:top w:val="nil"/>
              <w:left w:val="nil"/>
              <w:bottom w:val="single" w:color="auto" w:sz="4" w:space="0"/>
              <w:right w:val="single" w:color="auto" w:sz="4" w:space="0"/>
            </w:tcBorders>
            <w:noWrap w:val="0"/>
            <w:vAlign w:val="center"/>
          </w:tcPr>
          <w:p w14:paraId="6302FD45">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教授授本科课程占总课程数的比例</w:t>
            </w:r>
          </w:p>
        </w:tc>
        <w:tc>
          <w:tcPr>
            <w:tcW w:w="2289" w:type="dxa"/>
            <w:tcBorders>
              <w:top w:val="nil"/>
              <w:left w:val="nil"/>
              <w:bottom w:val="single" w:color="auto" w:sz="4" w:space="0"/>
              <w:right w:val="single" w:color="auto" w:sz="4" w:space="0"/>
            </w:tcBorders>
            <w:noWrap w:val="0"/>
            <w:vAlign w:val="center"/>
          </w:tcPr>
          <w:p w14:paraId="49BFE066">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0.84</w:t>
            </w:r>
          </w:p>
        </w:tc>
        <w:tc>
          <w:tcPr>
            <w:tcW w:w="1940" w:type="dxa"/>
            <w:tcBorders>
              <w:top w:val="nil"/>
              <w:left w:val="nil"/>
              <w:bottom w:val="single" w:color="auto" w:sz="4" w:space="0"/>
              <w:right w:val="single" w:color="auto" w:sz="4" w:space="0"/>
            </w:tcBorders>
            <w:noWrap w:val="0"/>
            <w:vAlign w:val="center"/>
          </w:tcPr>
          <w:p w14:paraId="65C7B287">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分专业教授授本科课程占总课程数的比例见附表6</w:t>
            </w:r>
          </w:p>
        </w:tc>
      </w:tr>
      <w:tr w14:paraId="5E0058FD">
        <w:tblPrEx>
          <w:tblCellMar>
            <w:top w:w="0" w:type="dxa"/>
            <w:left w:w="108" w:type="dxa"/>
            <w:bottom w:w="0" w:type="dxa"/>
            <w:right w:w="108" w:type="dxa"/>
          </w:tblCellMar>
        </w:tblPrEx>
        <w:trPr>
          <w:trHeight w:val="495" w:hRule="atLeast"/>
          <w:jc w:val="center"/>
        </w:trPr>
        <w:tc>
          <w:tcPr>
            <w:tcW w:w="940" w:type="dxa"/>
            <w:tcBorders>
              <w:top w:val="nil"/>
              <w:left w:val="single" w:color="auto" w:sz="4" w:space="0"/>
              <w:bottom w:val="single" w:color="auto" w:sz="4" w:space="0"/>
              <w:right w:val="single" w:color="auto" w:sz="4" w:space="0"/>
            </w:tcBorders>
            <w:noWrap w:val="0"/>
            <w:vAlign w:val="center"/>
          </w:tcPr>
          <w:p w14:paraId="3428A91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19</w:t>
            </w:r>
          </w:p>
        </w:tc>
        <w:tc>
          <w:tcPr>
            <w:tcW w:w="3479" w:type="dxa"/>
            <w:tcBorders>
              <w:top w:val="nil"/>
              <w:left w:val="nil"/>
              <w:bottom w:val="single" w:color="auto" w:sz="4" w:space="0"/>
              <w:right w:val="single" w:color="auto" w:sz="4" w:space="0"/>
            </w:tcBorders>
            <w:noWrap w:val="0"/>
            <w:vAlign w:val="center"/>
          </w:tcPr>
          <w:p w14:paraId="29668108">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实践教学和实习实训基地</w:t>
            </w:r>
          </w:p>
        </w:tc>
        <w:tc>
          <w:tcPr>
            <w:tcW w:w="2289" w:type="dxa"/>
            <w:tcBorders>
              <w:top w:val="nil"/>
              <w:left w:val="nil"/>
              <w:bottom w:val="single" w:color="auto" w:sz="4" w:space="0"/>
              <w:right w:val="single" w:color="auto" w:sz="4" w:space="0"/>
            </w:tcBorders>
            <w:noWrap w:val="0"/>
            <w:vAlign w:val="center"/>
          </w:tcPr>
          <w:p w14:paraId="015D199D">
            <w:pPr>
              <w:keepNext w:val="0"/>
              <w:keepLines w:val="0"/>
              <w:widowControl/>
              <w:suppressLineNumbers w:val="0"/>
              <w:jc w:val="center"/>
              <w:textAlignment w:val="center"/>
              <w:rPr>
                <w:rFonts w:hint="default" w:ascii="宋体" w:hAnsi="宋体" w:eastAsia="宋体" w:cs="宋体"/>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151</w:t>
            </w:r>
          </w:p>
        </w:tc>
        <w:tc>
          <w:tcPr>
            <w:tcW w:w="1940" w:type="dxa"/>
            <w:tcBorders>
              <w:top w:val="nil"/>
              <w:left w:val="nil"/>
              <w:bottom w:val="single" w:color="auto" w:sz="4" w:space="0"/>
              <w:right w:val="single" w:color="auto" w:sz="4" w:space="0"/>
            </w:tcBorders>
            <w:noWrap w:val="0"/>
            <w:vAlign w:val="center"/>
          </w:tcPr>
          <w:p w14:paraId="7E67719E">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分专业实践教学和实习实训基地见附表7</w:t>
            </w:r>
          </w:p>
        </w:tc>
      </w:tr>
      <w:tr w14:paraId="1ABBEC99">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3493117D">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20</w:t>
            </w:r>
          </w:p>
        </w:tc>
        <w:tc>
          <w:tcPr>
            <w:tcW w:w="3479" w:type="dxa"/>
            <w:tcBorders>
              <w:top w:val="nil"/>
              <w:left w:val="nil"/>
              <w:bottom w:val="single" w:color="auto" w:sz="4" w:space="0"/>
              <w:right w:val="single" w:color="auto" w:sz="4" w:space="0"/>
            </w:tcBorders>
            <w:noWrap w:val="0"/>
            <w:vAlign w:val="center"/>
          </w:tcPr>
          <w:p w14:paraId="0FA7B881">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应届本科生毕业率</w:t>
            </w:r>
          </w:p>
        </w:tc>
        <w:tc>
          <w:tcPr>
            <w:tcW w:w="2289" w:type="dxa"/>
            <w:tcBorders>
              <w:top w:val="nil"/>
              <w:left w:val="nil"/>
              <w:bottom w:val="single" w:color="auto" w:sz="4" w:space="0"/>
              <w:right w:val="single" w:color="auto" w:sz="4" w:space="0"/>
            </w:tcBorders>
            <w:noWrap w:val="0"/>
            <w:vAlign w:val="center"/>
          </w:tcPr>
          <w:p w14:paraId="7FBD51CE">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99.27</w:t>
            </w:r>
          </w:p>
        </w:tc>
        <w:tc>
          <w:tcPr>
            <w:tcW w:w="1940" w:type="dxa"/>
            <w:tcBorders>
              <w:top w:val="nil"/>
              <w:left w:val="nil"/>
              <w:bottom w:val="single" w:color="auto" w:sz="4" w:space="0"/>
              <w:right w:val="single" w:color="auto" w:sz="4" w:space="0"/>
            </w:tcBorders>
            <w:noWrap w:val="0"/>
            <w:vAlign w:val="center"/>
          </w:tcPr>
          <w:p w14:paraId="429D980C">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分专业应届本科生毕业率见附表8</w:t>
            </w:r>
          </w:p>
        </w:tc>
      </w:tr>
      <w:tr w14:paraId="0B162801">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2BC544E1">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21</w:t>
            </w:r>
          </w:p>
        </w:tc>
        <w:tc>
          <w:tcPr>
            <w:tcW w:w="3479" w:type="dxa"/>
            <w:tcBorders>
              <w:top w:val="nil"/>
              <w:left w:val="nil"/>
              <w:bottom w:val="single" w:color="auto" w:sz="4" w:space="0"/>
              <w:right w:val="single" w:color="auto" w:sz="4" w:space="0"/>
            </w:tcBorders>
            <w:noWrap w:val="0"/>
            <w:vAlign w:val="center"/>
          </w:tcPr>
          <w:p w14:paraId="378D2CEF">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应届本科生学位授予率</w:t>
            </w:r>
          </w:p>
        </w:tc>
        <w:tc>
          <w:tcPr>
            <w:tcW w:w="2289" w:type="dxa"/>
            <w:tcBorders>
              <w:top w:val="nil"/>
              <w:left w:val="nil"/>
              <w:bottom w:val="single" w:color="auto" w:sz="4" w:space="0"/>
              <w:right w:val="single" w:color="auto" w:sz="4" w:space="0"/>
            </w:tcBorders>
            <w:noWrap w:val="0"/>
            <w:vAlign w:val="center"/>
          </w:tcPr>
          <w:p w14:paraId="202FBEFA">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97.82</w:t>
            </w:r>
          </w:p>
        </w:tc>
        <w:tc>
          <w:tcPr>
            <w:tcW w:w="1940" w:type="dxa"/>
            <w:tcBorders>
              <w:top w:val="nil"/>
              <w:left w:val="nil"/>
              <w:bottom w:val="single" w:color="auto" w:sz="4" w:space="0"/>
              <w:right w:val="single" w:color="auto" w:sz="4" w:space="0"/>
            </w:tcBorders>
            <w:noWrap w:val="0"/>
            <w:vAlign w:val="center"/>
          </w:tcPr>
          <w:p w14:paraId="22B00097">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分专业应届本科生毕业率见附表8</w:t>
            </w:r>
          </w:p>
        </w:tc>
      </w:tr>
      <w:tr w14:paraId="61C43C61">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6A83EBA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22</w:t>
            </w:r>
          </w:p>
        </w:tc>
        <w:tc>
          <w:tcPr>
            <w:tcW w:w="3479" w:type="dxa"/>
            <w:tcBorders>
              <w:top w:val="nil"/>
              <w:left w:val="nil"/>
              <w:bottom w:val="single" w:color="auto" w:sz="4" w:space="0"/>
              <w:right w:val="single" w:color="auto" w:sz="4" w:space="0"/>
            </w:tcBorders>
            <w:noWrap w:val="0"/>
            <w:vAlign w:val="center"/>
          </w:tcPr>
          <w:p w14:paraId="17A45BEA">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应届本科生初次就业率</w:t>
            </w:r>
          </w:p>
        </w:tc>
        <w:tc>
          <w:tcPr>
            <w:tcW w:w="2289" w:type="dxa"/>
            <w:tcBorders>
              <w:top w:val="nil"/>
              <w:left w:val="nil"/>
              <w:bottom w:val="single" w:color="auto" w:sz="4" w:space="0"/>
              <w:right w:val="single" w:color="auto" w:sz="4" w:space="0"/>
            </w:tcBorders>
            <w:noWrap w:val="0"/>
            <w:vAlign w:val="center"/>
          </w:tcPr>
          <w:p w14:paraId="4DA19F85">
            <w:pPr>
              <w:keepNext w:val="0"/>
              <w:keepLines w:val="0"/>
              <w:widowControl/>
              <w:suppressLineNumbers w:val="0"/>
              <w:jc w:val="center"/>
              <w:textAlignment w:val="center"/>
              <w:rPr>
                <w:rFonts w:hint="default" w:ascii="宋体" w:hAnsi="宋体" w:eastAsia="宋体" w:cs="宋体"/>
                <w:color w:val="000000"/>
                <w:highlight w:val="none"/>
                <w:lang w:val="en-US" w:eastAsia="zh-CN"/>
              </w:rPr>
            </w:pPr>
            <w:r>
              <w:rPr>
                <w:rFonts w:hint="eastAsia" w:ascii="宋体" w:hAnsi="宋体" w:eastAsia="宋体" w:cs="宋体"/>
                <w:i w:val="0"/>
                <w:iCs w:val="0"/>
                <w:snapToGrid w:val="0"/>
                <w:color w:val="000000"/>
                <w:kern w:val="0"/>
                <w:sz w:val="24"/>
                <w:szCs w:val="24"/>
                <w:highlight w:val="none"/>
                <w:u w:val="none"/>
                <w:lang w:val="en-US" w:eastAsia="zh-CN" w:bidi="ar"/>
              </w:rPr>
              <w:t>87.98</w:t>
            </w:r>
          </w:p>
        </w:tc>
        <w:tc>
          <w:tcPr>
            <w:tcW w:w="1940" w:type="dxa"/>
            <w:tcBorders>
              <w:top w:val="nil"/>
              <w:left w:val="nil"/>
              <w:bottom w:val="single" w:color="auto" w:sz="4" w:space="0"/>
              <w:right w:val="single" w:color="auto" w:sz="4" w:space="0"/>
            </w:tcBorders>
            <w:noWrap w:val="0"/>
            <w:vAlign w:val="center"/>
          </w:tcPr>
          <w:p w14:paraId="515C5D84">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分专业应届本科生初次就业率见附表8</w:t>
            </w:r>
          </w:p>
        </w:tc>
      </w:tr>
      <w:tr w14:paraId="486B365E">
        <w:tblPrEx>
          <w:tblCellMar>
            <w:top w:w="0" w:type="dxa"/>
            <w:left w:w="108" w:type="dxa"/>
            <w:bottom w:w="0" w:type="dxa"/>
            <w:right w:w="108" w:type="dxa"/>
          </w:tblCellMar>
        </w:tblPrEx>
        <w:trPr>
          <w:trHeight w:val="90" w:hRule="atLeast"/>
          <w:jc w:val="center"/>
        </w:trPr>
        <w:tc>
          <w:tcPr>
            <w:tcW w:w="940" w:type="dxa"/>
            <w:tcBorders>
              <w:top w:val="nil"/>
              <w:left w:val="single" w:color="auto" w:sz="4" w:space="0"/>
              <w:bottom w:val="single" w:color="auto" w:sz="4" w:space="0"/>
              <w:right w:val="single" w:color="auto" w:sz="4" w:space="0"/>
            </w:tcBorders>
            <w:noWrap w:val="0"/>
            <w:vAlign w:val="center"/>
          </w:tcPr>
          <w:p w14:paraId="6603273F">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23</w:t>
            </w:r>
          </w:p>
        </w:tc>
        <w:tc>
          <w:tcPr>
            <w:tcW w:w="3479" w:type="dxa"/>
            <w:tcBorders>
              <w:top w:val="nil"/>
              <w:left w:val="nil"/>
              <w:bottom w:val="single" w:color="auto" w:sz="4" w:space="0"/>
              <w:right w:val="single" w:color="auto" w:sz="4" w:space="0"/>
            </w:tcBorders>
            <w:noWrap w:val="0"/>
            <w:vAlign w:val="center"/>
          </w:tcPr>
          <w:p w14:paraId="26B980B5">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体质测试达标率</w:t>
            </w:r>
          </w:p>
        </w:tc>
        <w:tc>
          <w:tcPr>
            <w:tcW w:w="2289" w:type="dxa"/>
            <w:tcBorders>
              <w:top w:val="nil"/>
              <w:left w:val="nil"/>
              <w:bottom w:val="single" w:color="auto" w:sz="4" w:space="0"/>
              <w:right w:val="single" w:color="auto" w:sz="4" w:space="0"/>
            </w:tcBorders>
            <w:noWrap w:val="0"/>
            <w:vAlign w:val="center"/>
          </w:tcPr>
          <w:p w14:paraId="40043763">
            <w:pPr>
              <w:jc w:val="center"/>
              <w:rPr>
                <w:rFonts w:hint="eastAsia" w:ascii="宋体" w:hAnsi="宋体" w:eastAsia="宋体" w:cs="宋体"/>
                <w:color w:val="000000"/>
                <w:highlight w:val="none"/>
                <w:lang w:val="en-US" w:eastAsia="zh-CN"/>
              </w:rPr>
            </w:pPr>
            <w:r>
              <w:rPr>
                <w:rFonts w:hint="eastAsia" w:ascii="宋体" w:hAnsi="宋体" w:eastAsia="宋体" w:cs="宋体"/>
                <w:sz w:val="24"/>
                <w:szCs w:val="24"/>
                <w:highlight w:val="none"/>
                <w:lang w:val="en-US" w:eastAsia="zh-CN"/>
              </w:rPr>
              <w:t>96.41</w:t>
            </w:r>
          </w:p>
        </w:tc>
        <w:tc>
          <w:tcPr>
            <w:tcW w:w="1940" w:type="dxa"/>
            <w:tcBorders>
              <w:top w:val="nil"/>
              <w:left w:val="nil"/>
              <w:bottom w:val="single" w:color="auto" w:sz="4" w:space="0"/>
              <w:right w:val="single" w:color="auto" w:sz="4" w:space="0"/>
            </w:tcBorders>
            <w:noWrap w:val="0"/>
            <w:vAlign w:val="center"/>
          </w:tcPr>
          <w:p w14:paraId="3A834125">
            <w:pPr>
              <w:keepNext w:val="0"/>
              <w:keepLines w:val="0"/>
              <w:widowControl/>
              <w:suppressLineNumbers w:val="0"/>
              <w:jc w:val="left"/>
              <w:textAlignment w:val="center"/>
              <w:rPr>
                <w:rFonts w:ascii="宋体" w:hAnsi="宋体" w:cs="宋体"/>
                <w:sz w:val="20"/>
                <w:szCs w:val="20"/>
                <w:highlight w:val="none"/>
              </w:rPr>
            </w:pPr>
            <w:r>
              <w:rPr>
                <w:rFonts w:hint="eastAsia" w:ascii="宋体" w:hAnsi="宋体" w:eastAsia="宋体" w:cs="宋体"/>
                <w:i w:val="0"/>
                <w:iCs w:val="0"/>
                <w:snapToGrid w:val="0"/>
                <w:color w:val="000000"/>
                <w:kern w:val="0"/>
                <w:sz w:val="20"/>
                <w:szCs w:val="20"/>
                <w:highlight w:val="none"/>
                <w:u w:val="none"/>
                <w:lang w:val="en-US" w:eastAsia="zh-CN" w:bidi="ar"/>
              </w:rPr>
              <w:t xml:space="preserve">    </w:t>
            </w:r>
            <w:r>
              <w:rPr>
                <w:rFonts w:hint="eastAsia" w:ascii="宋体" w:hAnsi="宋体" w:eastAsia="宋体" w:cs="宋体"/>
                <w:i w:val="0"/>
                <w:iCs w:val="0"/>
                <w:snapToGrid w:val="0"/>
                <w:color w:val="000000"/>
                <w:kern w:val="0"/>
                <w:sz w:val="20"/>
                <w:szCs w:val="20"/>
                <w:highlight w:val="none"/>
                <w:u w:val="none"/>
                <w:lang w:val="en-US" w:eastAsia="zh-CN" w:bidi="ar"/>
              </w:rPr>
              <w:br w:type="textWrapping"/>
            </w:r>
            <w:r>
              <w:rPr>
                <w:rStyle w:val="36"/>
                <w:snapToGrid w:val="0"/>
                <w:color w:val="000000"/>
                <w:highlight w:val="none"/>
                <w:lang w:val="en-US" w:eastAsia="zh-CN" w:bidi="ar"/>
              </w:rPr>
              <w:t>分专业体质测试达标率见附表</w:t>
            </w:r>
            <w:r>
              <w:rPr>
                <w:rStyle w:val="36"/>
                <w:rFonts w:hint="eastAsia"/>
                <w:snapToGrid w:val="0"/>
                <w:color w:val="000000"/>
                <w:highlight w:val="none"/>
                <w:lang w:val="en-US" w:eastAsia="zh-CN" w:bidi="ar"/>
              </w:rPr>
              <w:t>9</w:t>
            </w:r>
          </w:p>
        </w:tc>
      </w:tr>
      <w:tr w14:paraId="0CA23E77">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1DD564EC">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24</w:t>
            </w:r>
          </w:p>
        </w:tc>
        <w:tc>
          <w:tcPr>
            <w:tcW w:w="3479" w:type="dxa"/>
            <w:tcBorders>
              <w:top w:val="nil"/>
              <w:left w:val="nil"/>
              <w:bottom w:val="single" w:color="auto" w:sz="4" w:space="0"/>
              <w:right w:val="single" w:color="auto" w:sz="4" w:space="0"/>
            </w:tcBorders>
            <w:noWrap w:val="0"/>
            <w:vAlign w:val="center"/>
          </w:tcPr>
          <w:p w14:paraId="0D51B61C">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学生学习满意度</w:t>
            </w:r>
          </w:p>
        </w:tc>
        <w:tc>
          <w:tcPr>
            <w:tcW w:w="2289" w:type="dxa"/>
            <w:tcBorders>
              <w:top w:val="nil"/>
              <w:left w:val="nil"/>
              <w:bottom w:val="single" w:color="auto" w:sz="4" w:space="0"/>
              <w:right w:val="single" w:color="auto" w:sz="4" w:space="0"/>
            </w:tcBorders>
            <w:noWrap w:val="0"/>
            <w:vAlign w:val="center"/>
          </w:tcPr>
          <w:p w14:paraId="5660AF16">
            <w:pPr>
              <w:jc w:val="center"/>
              <w:rPr>
                <w:rFonts w:hint="default" w:ascii="宋体" w:hAnsi="宋体" w:eastAsia="宋体" w:cs="宋体"/>
                <w:color w:val="000000"/>
                <w:highlight w:val="none"/>
                <w:lang w:val="en-US" w:eastAsia="zh-CN"/>
              </w:rPr>
            </w:pPr>
            <w:r>
              <w:rPr>
                <w:rFonts w:hint="eastAsia" w:ascii="宋体" w:hAnsi="宋体" w:eastAsia="宋体" w:cs="宋体"/>
                <w:sz w:val="24"/>
                <w:szCs w:val="24"/>
                <w:highlight w:val="none"/>
                <w:lang w:eastAsia="zh-CN"/>
              </w:rPr>
              <w:t>9</w:t>
            </w:r>
            <w:r>
              <w:rPr>
                <w:rFonts w:hint="eastAsia" w:ascii="宋体" w:hAnsi="宋体" w:eastAsia="宋体" w:cs="宋体"/>
                <w:sz w:val="24"/>
                <w:szCs w:val="24"/>
                <w:highlight w:val="none"/>
                <w:lang w:val="en-US" w:eastAsia="zh-CN"/>
              </w:rPr>
              <w:t>7.39</w:t>
            </w:r>
          </w:p>
        </w:tc>
        <w:tc>
          <w:tcPr>
            <w:tcW w:w="1940" w:type="dxa"/>
            <w:tcBorders>
              <w:top w:val="nil"/>
              <w:left w:val="nil"/>
              <w:bottom w:val="single" w:color="auto" w:sz="4" w:space="0"/>
              <w:right w:val="single" w:color="auto" w:sz="4" w:space="0"/>
            </w:tcBorders>
            <w:noWrap w:val="0"/>
            <w:vAlign w:val="center"/>
          </w:tcPr>
          <w:p w14:paraId="7D84C9E0">
            <w:pPr>
              <w:rPr>
                <w:rFonts w:ascii="宋体" w:hAnsi="宋体" w:cs="宋体"/>
                <w:color w:val="000000"/>
                <w:highlight w:val="none"/>
              </w:rPr>
            </w:pPr>
          </w:p>
        </w:tc>
      </w:tr>
      <w:tr w14:paraId="3F152C45">
        <w:tblPrEx>
          <w:tblCellMar>
            <w:top w:w="0" w:type="dxa"/>
            <w:left w:w="108" w:type="dxa"/>
            <w:bottom w:w="0" w:type="dxa"/>
            <w:right w:w="108" w:type="dxa"/>
          </w:tblCellMar>
        </w:tblPrEx>
        <w:trPr>
          <w:trHeight w:val="480" w:hRule="atLeast"/>
          <w:jc w:val="center"/>
        </w:trPr>
        <w:tc>
          <w:tcPr>
            <w:tcW w:w="940" w:type="dxa"/>
            <w:tcBorders>
              <w:top w:val="nil"/>
              <w:left w:val="single" w:color="auto" w:sz="4" w:space="0"/>
              <w:bottom w:val="single" w:color="auto" w:sz="4" w:space="0"/>
              <w:right w:val="single" w:color="auto" w:sz="4" w:space="0"/>
            </w:tcBorders>
            <w:noWrap w:val="0"/>
            <w:vAlign w:val="center"/>
          </w:tcPr>
          <w:p w14:paraId="3536D587">
            <w:pPr>
              <w:keepNext w:val="0"/>
              <w:keepLines w:val="0"/>
              <w:widowControl/>
              <w:suppressLineNumbers w:val="0"/>
              <w:jc w:val="center"/>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25</w:t>
            </w:r>
          </w:p>
        </w:tc>
        <w:tc>
          <w:tcPr>
            <w:tcW w:w="3479" w:type="dxa"/>
            <w:tcBorders>
              <w:top w:val="nil"/>
              <w:left w:val="nil"/>
              <w:bottom w:val="single" w:color="auto" w:sz="4" w:space="0"/>
              <w:right w:val="single" w:color="auto" w:sz="4" w:space="0"/>
            </w:tcBorders>
            <w:noWrap w:val="0"/>
            <w:vAlign w:val="center"/>
          </w:tcPr>
          <w:p w14:paraId="24CE84C3">
            <w:pPr>
              <w:keepNext w:val="0"/>
              <w:keepLines w:val="0"/>
              <w:widowControl/>
              <w:suppressLineNumbers w:val="0"/>
              <w:jc w:val="left"/>
              <w:textAlignment w:val="center"/>
              <w:rPr>
                <w:rFonts w:ascii="宋体" w:hAnsi="宋体" w:cs="宋体"/>
                <w:color w:val="000000"/>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用人单位对毕业生满意度</w:t>
            </w:r>
          </w:p>
        </w:tc>
        <w:tc>
          <w:tcPr>
            <w:tcW w:w="2289" w:type="dxa"/>
            <w:tcBorders>
              <w:top w:val="nil"/>
              <w:left w:val="nil"/>
              <w:bottom w:val="single" w:color="auto" w:sz="4" w:space="0"/>
              <w:right w:val="single" w:color="auto" w:sz="4" w:space="0"/>
            </w:tcBorders>
            <w:noWrap w:val="0"/>
            <w:vAlign w:val="center"/>
          </w:tcPr>
          <w:p w14:paraId="62000E3C">
            <w:pPr>
              <w:jc w:val="center"/>
              <w:rPr>
                <w:rFonts w:hint="default" w:ascii="宋体" w:hAnsi="宋体" w:eastAsia="宋体" w:cs="宋体"/>
                <w:color w:val="000000"/>
                <w:highlight w:val="none"/>
                <w:lang w:val="en-US" w:eastAsia="zh-CN"/>
              </w:rPr>
            </w:pPr>
            <w:r>
              <w:rPr>
                <w:rFonts w:hint="eastAsia" w:ascii="宋体" w:hAnsi="宋体" w:eastAsia="宋体" w:cs="宋体"/>
                <w:sz w:val="24"/>
                <w:szCs w:val="24"/>
                <w:highlight w:val="none"/>
                <w:lang w:val="en-US" w:eastAsia="zh-CN"/>
              </w:rPr>
              <w:t>99.10</w:t>
            </w:r>
          </w:p>
        </w:tc>
        <w:tc>
          <w:tcPr>
            <w:tcW w:w="1940" w:type="dxa"/>
            <w:tcBorders>
              <w:top w:val="nil"/>
              <w:left w:val="nil"/>
              <w:bottom w:val="single" w:color="auto" w:sz="4" w:space="0"/>
              <w:right w:val="single" w:color="auto" w:sz="4" w:space="0"/>
            </w:tcBorders>
            <w:noWrap w:val="0"/>
            <w:vAlign w:val="center"/>
          </w:tcPr>
          <w:p w14:paraId="5CB679CE">
            <w:pPr>
              <w:rPr>
                <w:rFonts w:ascii="宋体" w:hAnsi="宋体" w:cs="宋体"/>
                <w:color w:val="000000"/>
                <w:highlight w:val="none"/>
              </w:rPr>
            </w:pPr>
          </w:p>
        </w:tc>
      </w:tr>
    </w:tbl>
    <w:p w14:paraId="3280D886">
      <w:pPr>
        <w:rPr>
          <w:highlight w:val="none"/>
          <w:lang w:eastAsia="zh-CN"/>
        </w:rPr>
      </w:pPr>
      <w:r>
        <w:rPr>
          <w:highlight w:val="none"/>
          <w:lang w:eastAsia="zh-CN"/>
        </w:rPr>
        <w:br w:type="page"/>
      </w:r>
    </w:p>
    <w:p w14:paraId="25A1A87B">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附表1</w:t>
      </w:r>
    </w:p>
    <w:p w14:paraId="689941AF">
      <w:pPr>
        <w:jc w:val="center"/>
        <w:outlineLvl w:val="0"/>
        <w:rPr>
          <w:rFonts w:hint="eastAsia" w:ascii="宋体" w:hAnsi="宋体" w:eastAsia="宋体" w:cs="宋体"/>
          <w:b/>
          <w:bCs/>
          <w:spacing w:val="9"/>
          <w:sz w:val="28"/>
          <w:szCs w:val="28"/>
          <w:highlight w:val="none"/>
          <w:lang w:eastAsia="zh-CN"/>
        </w:rPr>
      </w:pPr>
      <w:bookmarkStart w:id="87" w:name="bookmark104"/>
      <w:bookmarkEnd w:id="87"/>
      <w:bookmarkStart w:id="88" w:name="_Toc918"/>
      <w:bookmarkStart w:id="89" w:name="_Toc32197"/>
      <w:r>
        <w:rPr>
          <w:rFonts w:hint="eastAsia" w:ascii="宋体" w:hAnsi="宋体" w:eastAsia="宋体" w:cs="宋体"/>
          <w:b/>
          <w:bCs/>
          <w:spacing w:val="9"/>
          <w:sz w:val="28"/>
          <w:szCs w:val="28"/>
          <w:highlight w:val="none"/>
          <w:lang w:eastAsia="zh-CN"/>
        </w:rPr>
        <w:t>各专业专任教师数量及生师比一览表</w:t>
      </w:r>
      <w:bookmarkEnd w:id="88"/>
      <w:bookmarkEnd w:id="89"/>
    </w:p>
    <w:tbl>
      <w:tblPr>
        <w:tblStyle w:val="24"/>
        <w:tblpPr w:leftFromText="180" w:rightFromText="180" w:vertAnchor="text" w:horzAnchor="page" w:tblpX="1587" w:tblpY="137"/>
        <w:tblOverlap w:val="never"/>
        <w:tblW w:w="887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1320"/>
        <w:gridCol w:w="2460"/>
        <w:gridCol w:w="1530"/>
        <w:gridCol w:w="1380"/>
        <w:gridCol w:w="1470"/>
      </w:tblGrid>
      <w:tr w14:paraId="11212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713" w:type="dxa"/>
            <w:vAlign w:val="center"/>
          </w:tcPr>
          <w:p w14:paraId="71D99B10">
            <w:pPr>
              <w:spacing w:line="400" w:lineRule="exact"/>
              <w:jc w:val="center"/>
              <w:rPr>
                <w:rFonts w:ascii="宋体" w:hAnsi="宋体" w:eastAsia="宋体" w:cs="宋体"/>
                <w:color w:val="auto"/>
                <w:highlight w:val="none"/>
              </w:rPr>
            </w:pPr>
            <w:r>
              <w:rPr>
                <w:rFonts w:hint="eastAsia" w:ascii="宋体" w:hAnsi="宋体" w:eastAsia="宋体" w:cs="宋体"/>
                <w:b/>
                <w:bCs/>
                <w:color w:val="auto"/>
                <w:spacing w:val="-1"/>
                <w:highlight w:val="none"/>
              </w:rPr>
              <w:t>序号</w:t>
            </w:r>
          </w:p>
        </w:tc>
        <w:tc>
          <w:tcPr>
            <w:tcW w:w="1320" w:type="dxa"/>
            <w:vAlign w:val="center"/>
          </w:tcPr>
          <w:p w14:paraId="0148C341">
            <w:pPr>
              <w:spacing w:line="400" w:lineRule="exact"/>
              <w:jc w:val="center"/>
              <w:rPr>
                <w:rFonts w:ascii="宋体" w:hAnsi="宋体" w:eastAsia="宋体" w:cs="宋体"/>
                <w:color w:val="auto"/>
                <w:highlight w:val="none"/>
              </w:rPr>
            </w:pPr>
            <w:r>
              <w:rPr>
                <w:rFonts w:hint="eastAsia" w:ascii="宋体" w:hAnsi="宋体" w:eastAsia="宋体" w:cs="宋体"/>
                <w:b/>
                <w:bCs/>
                <w:color w:val="auto"/>
                <w:spacing w:val="-2"/>
                <w:highlight w:val="none"/>
              </w:rPr>
              <w:t>专业代码</w:t>
            </w:r>
          </w:p>
        </w:tc>
        <w:tc>
          <w:tcPr>
            <w:tcW w:w="2460" w:type="dxa"/>
            <w:vAlign w:val="center"/>
          </w:tcPr>
          <w:p w14:paraId="4F73B727">
            <w:pPr>
              <w:spacing w:line="400" w:lineRule="exact"/>
              <w:jc w:val="center"/>
              <w:rPr>
                <w:rFonts w:ascii="宋体" w:hAnsi="宋体" w:eastAsia="宋体" w:cs="宋体"/>
                <w:color w:val="auto"/>
                <w:highlight w:val="none"/>
              </w:rPr>
            </w:pPr>
            <w:r>
              <w:rPr>
                <w:rFonts w:hint="eastAsia" w:ascii="宋体" w:hAnsi="宋体" w:eastAsia="宋体" w:cs="宋体"/>
                <w:b/>
                <w:bCs/>
                <w:color w:val="auto"/>
                <w:spacing w:val="-1"/>
                <w:highlight w:val="none"/>
              </w:rPr>
              <w:t>专业名称</w:t>
            </w:r>
          </w:p>
        </w:tc>
        <w:tc>
          <w:tcPr>
            <w:tcW w:w="1530" w:type="dxa"/>
            <w:vAlign w:val="center"/>
          </w:tcPr>
          <w:p w14:paraId="1CD98525">
            <w:pPr>
              <w:spacing w:line="400" w:lineRule="exact"/>
              <w:jc w:val="center"/>
              <w:rPr>
                <w:rFonts w:ascii="宋体" w:hAnsi="宋体" w:eastAsia="宋体" w:cs="宋体"/>
                <w:color w:val="auto"/>
                <w:highlight w:val="none"/>
              </w:rPr>
            </w:pPr>
            <w:r>
              <w:rPr>
                <w:rFonts w:hint="eastAsia" w:ascii="宋体" w:hAnsi="宋体" w:eastAsia="宋体" w:cs="宋体"/>
                <w:b/>
                <w:bCs/>
                <w:color w:val="auto"/>
                <w:spacing w:val="-1"/>
                <w:highlight w:val="none"/>
              </w:rPr>
              <w:t>专</w:t>
            </w:r>
            <w:r>
              <w:rPr>
                <w:rFonts w:hint="eastAsia" w:ascii="宋体" w:hAnsi="宋体" w:eastAsia="宋体" w:cs="宋体"/>
                <w:b/>
                <w:bCs/>
                <w:color w:val="auto"/>
                <w:spacing w:val="-1"/>
                <w:highlight w:val="none"/>
                <w:lang w:eastAsia="zh-CN"/>
              </w:rPr>
              <w:t>任</w:t>
            </w:r>
            <w:r>
              <w:rPr>
                <w:rFonts w:hint="eastAsia" w:ascii="宋体" w:hAnsi="宋体" w:eastAsia="宋体" w:cs="宋体"/>
                <w:b/>
                <w:bCs/>
                <w:color w:val="auto"/>
                <w:spacing w:val="-1"/>
                <w:highlight w:val="none"/>
              </w:rPr>
              <w:t>教师总数</w:t>
            </w:r>
          </w:p>
        </w:tc>
        <w:tc>
          <w:tcPr>
            <w:tcW w:w="1380" w:type="dxa"/>
            <w:vAlign w:val="center"/>
          </w:tcPr>
          <w:p w14:paraId="6F892EC0">
            <w:pPr>
              <w:spacing w:line="400" w:lineRule="exact"/>
              <w:jc w:val="center"/>
              <w:rPr>
                <w:rFonts w:ascii="宋体" w:hAnsi="宋体" w:eastAsia="宋体" w:cs="宋体"/>
                <w:color w:val="auto"/>
                <w:highlight w:val="none"/>
              </w:rPr>
            </w:pPr>
            <w:r>
              <w:rPr>
                <w:rFonts w:hint="eastAsia" w:ascii="宋体" w:hAnsi="宋体" w:eastAsia="宋体" w:cs="宋体"/>
                <w:b/>
                <w:bCs/>
                <w:color w:val="auto"/>
                <w:spacing w:val="-1"/>
                <w:highlight w:val="none"/>
              </w:rPr>
              <w:t>本科学生数</w:t>
            </w:r>
          </w:p>
        </w:tc>
        <w:tc>
          <w:tcPr>
            <w:tcW w:w="1470" w:type="dxa"/>
            <w:vAlign w:val="center"/>
          </w:tcPr>
          <w:p w14:paraId="24DBF6A8">
            <w:pPr>
              <w:spacing w:line="400" w:lineRule="exact"/>
              <w:jc w:val="center"/>
              <w:rPr>
                <w:rFonts w:ascii="宋体" w:hAnsi="宋体" w:eastAsia="宋体" w:cs="宋体"/>
                <w:color w:val="auto"/>
                <w:highlight w:val="none"/>
              </w:rPr>
            </w:pPr>
            <w:r>
              <w:rPr>
                <w:rFonts w:hint="eastAsia" w:ascii="宋体" w:hAnsi="宋体" w:eastAsia="宋体" w:cs="宋体"/>
                <w:b/>
                <w:bCs/>
                <w:color w:val="auto"/>
                <w:spacing w:val="-1"/>
                <w:highlight w:val="none"/>
              </w:rPr>
              <w:t>专业生师比</w:t>
            </w:r>
          </w:p>
        </w:tc>
      </w:tr>
      <w:tr w14:paraId="3427C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76B678D2">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320" w:type="dxa"/>
            <w:vAlign w:val="center"/>
          </w:tcPr>
          <w:p w14:paraId="430ABB3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460" w:type="dxa"/>
            <w:vAlign w:val="center"/>
          </w:tcPr>
          <w:p w14:paraId="33CB19F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1530" w:type="dxa"/>
            <w:vAlign w:val="center"/>
          </w:tcPr>
          <w:p w14:paraId="2089F9A0">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51</w:t>
            </w:r>
          </w:p>
        </w:tc>
        <w:tc>
          <w:tcPr>
            <w:tcW w:w="1380" w:type="dxa"/>
            <w:vAlign w:val="center"/>
          </w:tcPr>
          <w:p w14:paraId="57560BA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436</w:t>
            </w:r>
          </w:p>
        </w:tc>
        <w:tc>
          <w:tcPr>
            <w:tcW w:w="1470" w:type="dxa"/>
            <w:vAlign w:val="center"/>
          </w:tcPr>
          <w:p w14:paraId="129D60AA">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8.55</w:t>
            </w:r>
          </w:p>
        </w:tc>
      </w:tr>
      <w:tr w14:paraId="2893D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473C4EE2">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320" w:type="dxa"/>
            <w:vAlign w:val="center"/>
          </w:tcPr>
          <w:p w14:paraId="1BB30E5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460" w:type="dxa"/>
            <w:vAlign w:val="center"/>
          </w:tcPr>
          <w:p w14:paraId="1F3C28F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1530" w:type="dxa"/>
            <w:vAlign w:val="center"/>
          </w:tcPr>
          <w:p w14:paraId="032B387E">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44</w:t>
            </w:r>
          </w:p>
        </w:tc>
        <w:tc>
          <w:tcPr>
            <w:tcW w:w="1380" w:type="dxa"/>
            <w:vAlign w:val="center"/>
          </w:tcPr>
          <w:p w14:paraId="795A599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985</w:t>
            </w:r>
          </w:p>
        </w:tc>
        <w:tc>
          <w:tcPr>
            <w:tcW w:w="1470" w:type="dxa"/>
            <w:vAlign w:val="center"/>
          </w:tcPr>
          <w:p w14:paraId="233D1CED">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22.39</w:t>
            </w:r>
          </w:p>
        </w:tc>
      </w:tr>
      <w:tr w14:paraId="19D53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724DCAE4">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320" w:type="dxa"/>
            <w:vAlign w:val="center"/>
          </w:tcPr>
          <w:p w14:paraId="47EAC17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460" w:type="dxa"/>
            <w:vAlign w:val="center"/>
          </w:tcPr>
          <w:p w14:paraId="780A5B9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1530" w:type="dxa"/>
            <w:vAlign w:val="center"/>
          </w:tcPr>
          <w:p w14:paraId="56045B3D">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36</w:t>
            </w:r>
          </w:p>
        </w:tc>
        <w:tc>
          <w:tcPr>
            <w:tcW w:w="1380" w:type="dxa"/>
            <w:vAlign w:val="center"/>
          </w:tcPr>
          <w:p w14:paraId="3FDE71B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646</w:t>
            </w:r>
          </w:p>
        </w:tc>
        <w:tc>
          <w:tcPr>
            <w:tcW w:w="1470" w:type="dxa"/>
            <w:vAlign w:val="center"/>
          </w:tcPr>
          <w:p w14:paraId="139562AE">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17.94</w:t>
            </w:r>
          </w:p>
        </w:tc>
      </w:tr>
      <w:tr w14:paraId="7990C8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0B9647C7">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320" w:type="dxa"/>
            <w:vAlign w:val="center"/>
          </w:tcPr>
          <w:p w14:paraId="0C9C4D5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460" w:type="dxa"/>
            <w:vAlign w:val="center"/>
          </w:tcPr>
          <w:p w14:paraId="488C18D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1530" w:type="dxa"/>
            <w:vAlign w:val="center"/>
          </w:tcPr>
          <w:p w14:paraId="35126288">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80" w:type="dxa"/>
            <w:vAlign w:val="center"/>
          </w:tcPr>
          <w:p w14:paraId="7E0D6C6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282</w:t>
            </w:r>
          </w:p>
        </w:tc>
        <w:tc>
          <w:tcPr>
            <w:tcW w:w="1470" w:type="dxa"/>
            <w:vAlign w:val="center"/>
          </w:tcPr>
          <w:p w14:paraId="4D87D6BB">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17.63</w:t>
            </w:r>
          </w:p>
        </w:tc>
      </w:tr>
      <w:tr w14:paraId="3B1BF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594A9A84">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320" w:type="dxa"/>
            <w:vAlign w:val="center"/>
          </w:tcPr>
          <w:p w14:paraId="53CBD7C6">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460" w:type="dxa"/>
            <w:vAlign w:val="center"/>
          </w:tcPr>
          <w:p w14:paraId="63C2410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1530" w:type="dxa"/>
            <w:vAlign w:val="center"/>
          </w:tcPr>
          <w:p w14:paraId="31516D7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c>
          <w:tcPr>
            <w:tcW w:w="1380" w:type="dxa"/>
            <w:vAlign w:val="center"/>
          </w:tcPr>
          <w:p w14:paraId="0ECEE3A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489</w:t>
            </w:r>
          </w:p>
        </w:tc>
        <w:tc>
          <w:tcPr>
            <w:tcW w:w="1470" w:type="dxa"/>
            <w:vAlign w:val="center"/>
          </w:tcPr>
          <w:p w14:paraId="46239538">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11.93</w:t>
            </w:r>
          </w:p>
        </w:tc>
      </w:tr>
      <w:tr w14:paraId="669530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141CC9E5">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320" w:type="dxa"/>
            <w:vAlign w:val="center"/>
          </w:tcPr>
          <w:p w14:paraId="4279C3E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460" w:type="dxa"/>
            <w:vAlign w:val="center"/>
          </w:tcPr>
          <w:p w14:paraId="426BCF9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1530" w:type="dxa"/>
            <w:vAlign w:val="center"/>
          </w:tcPr>
          <w:p w14:paraId="3CB5F2B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76</w:t>
            </w:r>
          </w:p>
        </w:tc>
        <w:tc>
          <w:tcPr>
            <w:tcW w:w="1380" w:type="dxa"/>
            <w:vAlign w:val="center"/>
          </w:tcPr>
          <w:p w14:paraId="55690D3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982</w:t>
            </w:r>
          </w:p>
        </w:tc>
        <w:tc>
          <w:tcPr>
            <w:tcW w:w="1470" w:type="dxa"/>
            <w:vAlign w:val="center"/>
          </w:tcPr>
          <w:p w14:paraId="267BF78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12.92</w:t>
            </w:r>
          </w:p>
        </w:tc>
      </w:tr>
      <w:tr w14:paraId="74B26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14732BD9">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320" w:type="dxa"/>
            <w:vAlign w:val="center"/>
          </w:tcPr>
          <w:p w14:paraId="64DDA6A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460" w:type="dxa"/>
            <w:vAlign w:val="center"/>
          </w:tcPr>
          <w:p w14:paraId="08F70C1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1530" w:type="dxa"/>
            <w:vAlign w:val="center"/>
          </w:tcPr>
          <w:p w14:paraId="4491914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80" w:type="dxa"/>
            <w:vAlign w:val="center"/>
          </w:tcPr>
          <w:p w14:paraId="585A71C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310</w:t>
            </w:r>
          </w:p>
        </w:tc>
        <w:tc>
          <w:tcPr>
            <w:tcW w:w="1470" w:type="dxa"/>
            <w:vAlign w:val="center"/>
          </w:tcPr>
          <w:p w14:paraId="428EA12C">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20.67</w:t>
            </w:r>
          </w:p>
        </w:tc>
      </w:tr>
      <w:tr w14:paraId="6AF16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7CAE99E5">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320" w:type="dxa"/>
            <w:vAlign w:val="center"/>
          </w:tcPr>
          <w:p w14:paraId="310A86D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460" w:type="dxa"/>
            <w:vAlign w:val="center"/>
          </w:tcPr>
          <w:p w14:paraId="38C600B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1530" w:type="dxa"/>
            <w:vAlign w:val="center"/>
          </w:tcPr>
          <w:p w14:paraId="0769C4C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80" w:type="dxa"/>
            <w:vAlign w:val="center"/>
          </w:tcPr>
          <w:p w14:paraId="2DF86D3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171</w:t>
            </w:r>
          </w:p>
        </w:tc>
        <w:tc>
          <w:tcPr>
            <w:tcW w:w="1470" w:type="dxa"/>
            <w:vAlign w:val="center"/>
          </w:tcPr>
          <w:p w14:paraId="2BF64D5E">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10.69</w:t>
            </w:r>
          </w:p>
        </w:tc>
      </w:tr>
      <w:tr w14:paraId="3ED21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436925A2">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320" w:type="dxa"/>
            <w:vAlign w:val="center"/>
          </w:tcPr>
          <w:p w14:paraId="6D2408A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460" w:type="dxa"/>
            <w:vAlign w:val="center"/>
          </w:tcPr>
          <w:p w14:paraId="762B68F8">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1530" w:type="dxa"/>
            <w:vAlign w:val="center"/>
          </w:tcPr>
          <w:p w14:paraId="4F98A002">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80" w:type="dxa"/>
            <w:vAlign w:val="center"/>
          </w:tcPr>
          <w:p w14:paraId="0E2899D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206</w:t>
            </w:r>
          </w:p>
        </w:tc>
        <w:tc>
          <w:tcPr>
            <w:tcW w:w="1470" w:type="dxa"/>
            <w:vAlign w:val="center"/>
          </w:tcPr>
          <w:p w14:paraId="5914814D">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12.88</w:t>
            </w:r>
          </w:p>
        </w:tc>
      </w:tr>
      <w:tr w14:paraId="55B35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368F2E11">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320" w:type="dxa"/>
            <w:vAlign w:val="center"/>
          </w:tcPr>
          <w:p w14:paraId="666F728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460" w:type="dxa"/>
            <w:vAlign w:val="center"/>
          </w:tcPr>
          <w:p w14:paraId="03BD449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1530" w:type="dxa"/>
            <w:vAlign w:val="center"/>
          </w:tcPr>
          <w:p w14:paraId="406A0AC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31</w:t>
            </w:r>
          </w:p>
        </w:tc>
        <w:tc>
          <w:tcPr>
            <w:tcW w:w="1380" w:type="dxa"/>
            <w:vAlign w:val="center"/>
          </w:tcPr>
          <w:p w14:paraId="4814CB9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434</w:t>
            </w:r>
          </w:p>
        </w:tc>
        <w:tc>
          <w:tcPr>
            <w:tcW w:w="1470" w:type="dxa"/>
            <w:vAlign w:val="center"/>
          </w:tcPr>
          <w:p w14:paraId="07E4E5F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14.00</w:t>
            </w:r>
          </w:p>
        </w:tc>
      </w:tr>
      <w:tr w14:paraId="07768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5C99CEFF">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320" w:type="dxa"/>
            <w:vAlign w:val="center"/>
          </w:tcPr>
          <w:p w14:paraId="5BF3AA0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460" w:type="dxa"/>
            <w:vAlign w:val="center"/>
          </w:tcPr>
          <w:p w14:paraId="41ED598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1530" w:type="dxa"/>
            <w:vAlign w:val="center"/>
          </w:tcPr>
          <w:p w14:paraId="51DF9E5C">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380" w:type="dxa"/>
            <w:vAlign w:val="center"/>
          </w:tcPr>
          <w:p w14:paraId="44318E08">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103</w:t>
            </w:r>
          </w:p>
        </w:tc>
        <w:tc>
          <w:tcPr>
            <w:tcW w:w="1470" w:type="dxa"/>
            <w:vAlign w:val="center"/>
          </w:tcPr>
          <w:p w14:paraId="5B19C5D8">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7.92</w:t>
            </w:r>
          </w:p>
        </w:tc>
      </w:tr>
      <w:tr w14:paraId="3637EF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257BCAC0">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320" w:type="dxa"/>
            <w:vAlign w:val="center"/>
          </w:tcPr>
          <w:p w14:paraId="03C8B16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460" w:type="dxa"/>
            <w:vAlign w:val="center"/>
          </w:tcPr>
          <w:p w14:paraId="18ED019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1530" w:type="dxa"/>
            <w:vAlign w:val="center"/>
          </w:tcPr>
          <w:p w14:paraId="15547C91">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380" w:type="dxa"/>
            <w:vAlign w:val="center"/>
          </w:tcPr>
          <w:p w14:paraId="2808F6C2">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150</w:t>
            </w:r>
          </w:p>
        </w:tc>
        <w:tc>
          <w:tcPr>
            <w:tcW w:w="1470" w:type="dxa"/>
            <w:vAlign w:val="center"/>
          </w:tcPr>
          <w:p w14:paraId="2CC649D2">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10.71</w:t>
            </w:r>
          </w:p>
        </w:tc>
      </w:tr>
      <w:tr w14:paraId="46518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0DA6AB01">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320" w:type="dxa"/>
            <w:vAlign w:val="center"/>
          </w:tcPr>
          <w:p w14:paraId="0BA3294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460" w:type="dxa"/>
            <w:vAlign w:val="center"/>
          </w:tcPr>
          <w:p w14:paraId="11A4922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1530" w:type="dxa"/>
            <w:vAlign w:val="center"/>
          </w:tcPr>
          <w:p w14:paraId="68FC592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80" w:type="dxa"/>
            <w:vAlign w:val="center"/>
          </w:tcPr>
          <w:p w14:paraId="1BFAB34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180</w:t>
            </w:r>
          </w:p>
        </w:tc>
        <w:tc>
          <w:tcPr>
            <w:tcW w:w="1470" w:type="dxa"/>
            <w:vAlign w:val="center"/>
          </w:tcPr>
          <w:p w14:paraId="4345FE0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12.00</w:t>
            </w:r>
          </w:p>
        </w:tc>
      </w:tr>
      <w:tr w14:paraId="01D81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18662DB1">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320" w:type="dxa"/>
            <w:vAlign w:val="center"/>
          </w:tcPr>
          <w:p w14:paraId="05C675B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460" w:type="dxa"/>
            <w:vAlign w:val="center"/>
          </w:tcPr>
          <w:p w14:paraId="5C67088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1530" w:type="dxa"/>
            <w:vAlign w:val="center"/>
          </w:tcPr>
          <w:p w14:paraId="329FF03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80" w:type="dxa"/>
            <w:vAlign w:val="center"/>
          </w:tcPr>
          <w:p w14:paraId="7C9BA60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315</w:t>
            </w:r>
          </w:p>
        </w:tc>
        <w:tc>
          <w:tcPr>
            <w:tcW w:w="1470" w:type="dxa"/>
            <w:vAlign w:val="center"/>
          </w:tcPr>
          <w:p w14:paraId="69E1016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21.00</w:t>
            </w:r>
          </w:p>
        </w:tc>
      </w:tr>
      <w:tr w14:paraId="14EB1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19CB85A1">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20" w:type="dxa"/>
            <w:vAlign w:val="center"/>
          </w:tcPr>
          <w:p w14:paraId="1BEEE96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460" w:type="dxa"/>
            <w:vAlign w:val="center"/>
          </w:tcPr>
          <w:p w14:paraId="090D86C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1530" w:type="dxa"/>
            <w:vAlign w:val="center"/>
          </w:tcPr>
          <w:p w14:paraId="6FD5A15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380" w:type="dxa"/>
            <w:vAlign w:val="center"/>
          </w:tcPr>
          <w:p w14:paraId="615345F6">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179</w:t>
            </w:r>
          </w:p>
        </w:tc>
        <w:tc>
          <w:tcPr>
            <w:tcW w:w="1470" w:type="dxa"/>
            <w:vAlign w:val="center"/>
          </w:tcPr>
          <w:p w14:paraId="7B659117">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14.92</w:t>
            </w:r>
          </w:p>
        </w:tc>
      </w:tr>
      <w:tr w14:paraId="19B09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0E8A8703">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20" w:type="dxa"/>
            <w:vAlign w:val="center"/>
          </w:tcPr>
          <w:p w14:paraId="2C1046B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460" w:type="dxa"/>
            <w:vAlign w:val="center"/>
          </w:tcPr>
          <w:p w14:paraId="40888B66">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1530" w:type="dxa"/>
            <w:vAlign w:val="center"/>
          </w:tcPr>
          <w:p w14:paraId="24DF1A7E">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380" w:type="dxa"/>
            <w:vAlign w:val="center"/>
          </w:tcPr>
          <w:p w14:paraId="7C32A9F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196</w:t>
            </w:r>
          </w:p>
        </w:tc>
        <w:tc>
          <w:tcPr>
            <w:tcW w:w="1470" w:type="dxa"/>
            <w:vAlign w:val="center"/>
          </w:tcPr>
          <w:p w14:paraId="49DF69F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15.08</w:t>
            </w:r>
          </w:p>
        </w:tc>
      </w:tr>
      <w:tr w14:paraId="314F8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202F9907">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320" w:type="dxa"/>
            <w:vAlign w:val="center"/>
          </w:tcPr>
          <w:p w14:paraId="6F493D4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460" w:type="dxa"/>
            <w:vAlign w:val="center"/>
          </w:tcPr>
          <w:p w14:paraId="342F8DA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1530" w:type="dxa"/>
            <w:vAlign w:val="center"/>
          </w:tcPr>
          <w:p w14:paraId="7B65B672">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380" w:type="dxa"/>
            <w:vAlign w:val="center"/>
          </w:tcPr>
          <w:p w14:paraId="4688211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210</w:t>
            </w:r>
          </w:p>
        </w:tc>
        <w:tc>
          <w:tcPr>
            <w:tcW w:w="1470" w:type="dxa"/>
            <w:vAlign w:val="center"/>
          </w:tcPr>
          <w:p w14:paraId="124AC24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23.33</w:t>
            </w:r>
          </w:p>
        </w:tc>
      </w:tr>
      <w:tr w14:paraId="0B2A1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593189AE">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20" w:type="dxa"/>
            <w:vAlign w:val="center"/>
          </w:tcPr>
          <w:p w14:paraId="232F0580">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460" w:type="dxa"/>
            <w:vAlign w:val="center"/>
          </w:tcPr>
          <w:p w14:paraId="4C01C83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1530" w:type="dxa"/>
            <w:vAlign w:val="center"/>
          </w:tcPr>
          <w:p w14:paraId="66D30E5B">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42</w:t>
            </w:r>
          </w:p>
        </w:tc>
        <w:tc>
          <w:tcPr>
            <w:tcW w:w="1380" w:type="dxa"/>
            <w:vAlign w:val="center"/>
          </w:tcPr>
          <w:p w14:paraId="709693B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419</w:t>
            </w:r>
          </w:p>
        </w:tc>
        <w:tc>
          <w:tcPr>
            <w:tcW w:w="1470" w:type="dxa"/>
            <w:vAlign w:val="center"/>
          </w:tcPr>
          <w:p w14:paraId="38DEE14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9.98</w:t>
            </w:r>
          </w:p>
        </w:tc>
      </w:tr>
      <w:tr w14:paraId="47C15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2D2A16A8">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320" w:type="dxa"/>
            <w:vAlign w:val="center"/>
          </w:tcPr>
          <w:p w14:paraId="79DCC9F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460" w:type="dxa"/>
            <w:vAlign w:val="center"/>
          </w:tcPr>
          <w:p w14:paraId="6BE55484">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1530" w:type="dxa"/>
            <w:vAlign w:val="center"/>
          </w:tcPr>
          <w:p w14:paraId="5C4FDF81">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380" w:type="dxa"/>
            <w:vAlign w:val="center"/>
          </w:tcPr>
          <w:p w14:paraId="3091A89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151</w:t>
            </w:r>
          </w:p>
        </w:tc>
        <w:tc>
          <w:tcPr>
            <w:tcW w:w="1470" w:type="dxa"/>
            <w:vAlign w:val="center"/>
          </w:tcPr>
          <w:p w14:paraId="711CB876">
            <w:pPr>
              <w:keepNext w:val="0"/>
              <w:keepLines w:val="0"/>
              <w:widowControl/>
              <w:suppressLineNumbers w:val="0"/>
              <w:jc w:val="center"/>
              <w:textAlignment w:val="center"/>
              <w:rPr>
                <w:rFonts w:hint="eastAsia" w:ascii="宋体" w:hAnsi="宋体" w:eastAsia="宋体" w:cs="宋体"/>
                <w:color w:val="auto"/>
                <w:spacing w:val="2"/>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10.79</w:t>
            </w:r>
          </w:p>
        </w:tc>
      </w:tr>
      <w:tr w14:paraId="4F758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526056A4">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320" w:type="dxa"/>
            <w:vAlign w:val="center"/>
          </w:tcPr>
          <w:p w14:paraId="2ECD30C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460" w:type="dxa"/>
            <w:vAlign w:val="center"/>
          </w:tcPr>
          <w:p w14:paraId="64EEF8C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1530" w:type="dxa"/>
            <w:vAlign w:val="center"/>
          </w:tcPr>
          <w:p w14:paraId="00205E5E">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80" w:type="dxa"/>
            <w:vAlign w:val="center"/>
          </w:tcPr>
          <w:p w14:paraId="6ECAD306">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410</w:t>
            </w:r>
          </w:p>
        </w:tc>
        <w:tc>
          <w:tcPr>
            <w:tcW w:w="1470" w:type="dxa"/>
            <w:vAlign w:val="center"/>
          </w:tcPr>
          <w:p w14:paraId="5EACB8E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22.78</w:t>
            </w:r>
          </w:p>
        </w:tc>
      </w:tr>
      <w:tr w14:paraId="44688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3904B46C">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320" w:type="dxa"/>
            <w:vAlign w:val="center"/>
          </w:tcPr>
          <w:p w14:paraId="2B1CDE91">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460" w:type="dxa"/>
            <w:vAlign w:val="center"/>
          </w:tcPr>
          <w:p w14:paraId="0F0C99A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1530" w:type="dxa"/>
            <w:vAlign w:val="center"/>
          </w:tcPr>
          <w:p w14:paraId="37DAB9E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380" w:type="dxa"/>
            <w:vAlign w:val="center"/>
          </w:tcPr>
          <w:p w14:paraId="1EF28910">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93</w:t>
            </w:r>
          </w:p>
        </w:tc>
        <w:tc>
          <w:tcPr>
            <w:tcW w:w="1470" w:type="dxa"/>
            <w:vAlign w:val="center"/>
          </w:tcPr>
          <w:p w14:paraId="0E87FF34">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13.29</w:t>
            </w:r>
          </w:p>
        </w:tc>
      </w:tr>
      <w:tr w14:paraId="7EC77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5DAE436E">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320" w:type="dxa"/>
            <w:vAlign w:val="center"/>
          </w:tcPr>
          <w:p w14:paraId="73831BB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460" w:type="dxa"/>
            <w:vAlign w:val="center"/>
          </w:tcPr>
          <w:p w14:paraId="7F01693B">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1530" w:type="dxa"/>
            <w:vAlign w:val="center"/>
          </w:tcPr>
          <w:p w14:paraId="59AE7C62">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80" w:type="dxa"/>
            <w:vAlign w:val="center"/>
          </w:tcPr>
          <w:p w14:paraId="2A663F1F">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177</w:t>
            </w:r>
          </w:p>
        </w:tc>
        <w:tc>
          <w:tcPr>
            <w:tcW w:w="1470" w:type="dxa"/>
            <w:vAlign w:val="center"/>
          </w:tcPr>
          <w:p w14:paraId="5977712F">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9.83</w:t>
            </w:r>
          </w:p>
        </w:tc>
      </w:tr>
      <w:tr w14:paraId="4A1CF1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5BFD1659">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320" w:type="dxa"/>
            <w:vAlign w:val="center"/>
          </w:tcPr>
          <w:p w14:paraId="0A7383EA">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460" w:type="dxa"/>
            <w:vAlign w:val="center"/>
          </w:tcPr>
          <w:p w14:paraId="62552CA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1530" w:type="dxa"/>
            <w:vAlign w:val="center"/>
          </w:tcPr>
          <w:p w14:paraId="3A022CD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380" w:type="dxa"/>
            <w:vAlign w:val="center"/>
          </w:tcPr>
          <w:p w14:paraId="1A01337C">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241</w:t>
            </w:r>
          </w:p>
        </w:tc>
        <w:tc>
          <w:tcPr>
            <w:tcW w:w="1470" w:type="dxa"/>
            <w:vAlign w:val="center"/>
          </w:tcPr>
          <w:p w14:paraId="231398C4">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24.10</w:t>
            </w:r>
          </w:p>
        </w:tc>
      </w:tr>
      <w:tr w14:paraId="31DC5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08B98385">
            <w:pPr>
              <w:keepNext w:val="0"/>
              <w:keepLines w:val="0"/>
              <w:widowControl/>
              <w:suppressLineNumbers w:val="0"/>
              <w:jc w:val="center"/>
              <w:textAlignment w:val="center"/>
              <w:rPr>
                <w:color w:val="auto"/>
                <w:spacing w:val="-1"/>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320" w:type="dxa"/>
            <w:vAlign w:val="center"/>
          </w:tcPr>
          <w:p w14:paraId="43789974">
            <w:pPr>
              <w:keepNext w:val="0"/>
              <w:keepLines w:val="0"/>
              <w:widowControl/>
              <w:suppressLineNumbers w:val="0"/>
              <w:jc w:val="center"/>
              <w:textAlignment w:val="center"/>
              <w:rPr>
                <w:rFonts w:hint="eastAsia" w:ascii="宋体" w:hAnsi="宋体" w:eastAsia="宋体" w:cs="宋体"/>
                <w:color w:val="auto"/>
                <w:spacing w:val="-1"/>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460" w:type="dxa"/>
            <w:vAlign w:val="center"/>
          </w:tcPr>
          <w:p w14:paraId="1D50F62D">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1530" w:type="dxa"/>
            <w:vAlign w:val="center"/>
          </w:tcPr>
          <w:p w14:paraId="74440BF0">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80" w:type="dxa"/>
            <w:vAlign w:val="center"/>
          </w:tcPr>
          <w:p w14:paraId="677A3F9E">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255</w:t>
            </w:r>
          </w:p>
        </w:tc>
        <w:tc>
          <w:tcPr>
            <w:tcW w:w="1470" w:type="dxa"/>
            <w:vAlign w:val="center"/>
          </w:tcPr>
          <w:p w14:paraId="3FBFE96C">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14.17</w:t>
            </w:r>
          </w:p>
        </w:tc>
      </w:tr>
      <w:tr w14:paraId="3F4BC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13" w:type="dxa"/>
            <w:vAlign w:val="center"/>
          </w:tcPr>
          <w:p w14:paraId="12F14E9E">
            <w:pPr>
              <w:keepNext w:val="0"/>
              <w:keepLines w:val="0"/>
              <w:widowControl/>
              <w:suppressLineNumbers w:val="0"/>
              <w:jc w:val="center"/>
              <w:textAlignment w:val="center"/>
              <w:rPr>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320" w:type="dxa"/>
            <w:vAlign w:val="center"/>
          </w:tcPr>
          <w:p w14:paraId="02EE9533">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460" w:type="dxa"/>
            <w:vAlign w:val="center"/>
          </w:tcPr>
          <w:p w14:paraId="650D1527">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1530" w:type="dxa"/>
            <w:vAlign w:val="center"/>
          </w:tcPr>
          <w:p w14:paraId="784D2039">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80" w:type="dxa"/>
            <w:vAlign w:val="center"/>
          </w:tcPr>
          <w:p w14:paraId="6868D929">
            <w:pPr>
              <w:keepNext w:val="0"/>
              <w:keepLines w:val="0"/>
              <w:widowControl/>
              <w:suppressLineNumbers w:val="0"/>
              <w:jc w:val="center"/>
              <w:textAlignment w:val="center"/>
              <w:rPr>
                <w:rFonts w:hint="eastAsia" w:ascii="宋体" w:hAnsi="宋体" w:eastAsia="宋体" w:cs="宋体"/>
                <w:color w:val="auto"/>
                <w:sz w:val="21"/>
                <w:szCs w:val="21"/>
                <w:highlight w:val="none"/>
              </w:rPr>
            </w:pPr>
            <w:r>
              <w:rPr>
                <w:rFonts w:hint="default" w:ascii="Arial" w:hAnsi="Arial" w:eastAsia="宋体" w:cs="Arial"/>
                <w:i w:val="0"/>
                <w:iCs w:val="0"/>
                <w:snapToGrid w:val="0"/>
                <w:color w:val="000000"/>
                <w:kern w:val="0"/>
                <w:sz w:val="20"/>
                <w:szCs w:val="20"/>
                <w:highlight w:val="none"/>
                <w:u w:val="none"/>
                <w:lang w:val="en-US" w:eastAsia="zh-CN" w:bidi="ar"/>
              </w:rPr>
              <w:t>129</w:t>
            </w:r>
          </w:p>
        </w:tc>
        <w:tc>
          <w:tcPr>
            <w:tcW w:w="1470" w:type="dxa"/>
            <w:vAlign w:val="center"/>
          </w:tcPr>
          <w:p w14:paraId="78DE8273">
            <w:pPr>
              <w:keepNext w:val="0"/>
              <w:keepLines w:val="0"/>
              <w:widowControl/>
              <w:suppressLineNumbers w:val="0"/>
              <w:jc w:val="center"/>
              <w:textAlignment w:val="center"/>
              <w:rPr>
                <w:rFonts w:hint="eastAsia" w:ascii="宋体" w:hAnsi="宋体" w:eastAsia="宋体" w:cs="宋体"/>
                <w:color w:val="auto"/>
                <w:sz w:val="21"/>
                <w:szCs w:val="21"/>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8.60</w:t>
            </w:r>
          </w:p>
        </w:tc>
      </w:tr>
    </w:tbl>
    <w:p w14:paraId="42A7B91E">
      <w:pPr>
        <w:rPr>
          <w:highlight w:val="none"/>
          <w:lang w:eastAsia="zh-CN"/>
        </w:rPr>
        <w:sectPr>
          <w:headerReference r:id="rId5" w:type="default"/>
          <w:footerReference r:id="rId6" w:type="default"/>
          <w:pgSz w:w="11906" w:h="16838"/>
          <w:pgMar w:top="1440" w:right="1474" w:bottom="1440" w:left="1587" w:header="567" w:footer="992" w:gutter="0"/>
          <w:cols w:space="425" w:num="1"/>
          <w:docGrid w:type="lines" w:linePitch="312" w:charSpace="0"/>
        </w:sectPr>
      </w:pPr>
    </w:p>
    <w:p w14:paraId="35D76851">
      <w:pPr>
        <w:spacing w:line="400" w:lineRule="exact"/>
        <w:ind w:right="323"/>
        <w:rPr>
          <w:rFonts w:ascii="宋体" w:hAnsi="宋体" w:eastAsia="宋体" w:cs="宋体"/>
          <w:b/>
          <w:bCs/>
          <w:spacing w:val="9"/>
          <w:sz w:val="28"/>
          <w:szCs w:val="28"/>
          <w:highlight w:val="none"/>
          <w:lang w:eastAsia="zh-CN"/>
        </w:rPr>
      </w:pPr>
      <w:r>
        <w:rPr>
          <w:rFonts w:hint="eastAsia" w:ascii="黑体" w:hAnsi="黑体" w:eastAsia="黑体" w:cs="黑体"/>
          <w:bCs/>
          <w:sz w:val="30"/>
          <w:szCs w:val="30"/>
          <w:highlight w:val="none"/>
          <w:lang w:eastAsia="zh-CN"/>
        </w:rPr>
        <w:t>附表</w:t>
      </w:r>
      <w:r>
        <w:rPr>
          <w:rFonts w:hint="eastAsia" w:ascii="宋体" w:hAnsi="宋体" w:eastAsia="宋体" w:cs="宋体"/>
          <w:b/>
          <w:bCs/>
          <w:spacing w:val="9"/>
          <w:sz w:val="28"/>
          <w:szCs w:val="28"/>
          <w:highlight w:val="none"/>
          <w:lang w:eastAsia="zh-CN"/>
        </w:rPr>
        <w:t>2</w:t>
      </w:r>
    </w:p>
    <w:p w14:paraId="3BA4B319">
      <w:pPr>
        <w:jc w:val="center"/>
        <w:outlineLvl w:val="0"/>
        <w:rPr>
          <w:rFonts w:ascii="宋体" w:hAnsi="宋体" w:eastAsia="宋体" w:cs="宋体"/>
          <w:b/>
          <w:bCs/>
          <w:spacing w:val="9"/>
          <w:sz w:val="28"/>
          <w:szCs w:val="28"/>
          <w:highlight w:val="none"/>
          <w:lang w:eastAsia="zh-CN"/>
        </w:rPr>
      </w:pPr>
      <w:bookmarkStart w:id="90" w:name="_Toc18302"/>
      <w:r>
        <w:rPr>
          <w:rFonts w:hint="eastAsia" w:ascii="宋体" w:hAnsi="宋体" w:eastAsia="宋体" w:cs="宋体"/>
          <w:b/>
          <w:bCs/>
          <w:spacing w:val="9"/>
          <w:sz w:val="28"/>
          <w:szCs w:val="28"/>
          <w:highlight w:val="none"/>
          <w:lang w:eastAsia="zh-CN"/>
        </w:rPr>
        <w:t>各专业教师职称结构一览表</w:t>
      </w:r>
      <w:bookmarkEnd w:id="90"/>
    </w:p>
    <w:tbl>
      <w:tblPr>
        <w:tblStyle w:val="24"/>
        <w:tblW w:w="139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4"/>
        <w:gridCol w:w="1346"/>
        <w:gridCol w:w="2426"/>
        <w:gridCol w:w="938"/>
        <w:gridCol w:w="856"/>
        <w:gridCol w:w="940"/>
        <w:gridCol w:w="979"/>
        <w:gridCol w:w="825"/>
        <w:gridCol w:w="1008"/>
        <w:gridCol w:w="950"/>
        <w:gridCol w:w="907"/>
        <w:gridCol w:w="859"/>
        <w:gridCol w:w="1140"/>
      </w:tblGrid>
      <w:tr w14:paraId="7C3E2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jc w:val="center"/>
        </w:trPr>
        <w:tc>
          <w:tcPr>
            <w:tcW w:w="784" w:type="dxa"/>
            <w:vAlign w:val="center"/>
          </w:tcPr>
          <w:p w14:paraId="29BF465A">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序号</w:t>
            </w:r>
          </w:p>
        </w:tc>
        <w:tc>
          <w:tcPr>
            <w:tcW w:w="1346" w:type="dxa"/>
            <w:vAlign w:val="center"/>
          </w:tcPr>
          <w:p w14:paraId="411268B4">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专业代码</w:t>
            </w:r>
          </w:p>
        </w:tc>
        <w:tc>
          <w:tcPr>
            <w:tcW w:w="2426" w:type="dxa"/>
            <w:vAlign w:val="center"/>
          </w:tcPr>
          <w:p w14:paraId="1FFB3956">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2"/>
                <w:highlight w:val="none"/>
              </w:rPr>
              <w:t>专业名称</w:t>
            </w:r>
          </w:p>
        </w:tc>
        <w:tc>
          <w:tcPr>
            <w:tcW w:w="938" w:type="dxa"/>
            <w:vAlign w:val="center"/>
          </w:tcPr>
          <w:p w14:paraId="35EF28B6">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总数</w:t>
            </w:r>
          </w:p>
        </w:tc>
        <w:tc>
          <w:tcPr>
            <w:tcW w:w="856" w:type="dxa"/>
            <w:vAlign w:val="center"/>
          </w:tcPr>
          <w:p w14:paraId="26FBBD7C">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2"/>
                <w:highlight w:val="none"/>
              </w:rPr>
              <w:t>教授</w:t>
            </w:r>
          </w:p>
        </w:tc>
        <w:tc>
          <w:tcPr>
            <w:tcW w:w="940" w:type="dxa"/>
            <w:vAlign w:val="center"/>
          </w:tcPr>
          <w:p w14:paraId="00BE5F6B">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副教授</w:t>
            </w:r>
          </w:p>
        </w:tc>
        <w:tc>
          <w:tcPr>
            <w:tcW w:w="979" w:type="dxa"/>
            <w:vAlign w:val="center"/>
          </w:tcPr>
          <w:p w14:paraId="3B0EDDCE">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讲师</w:t>
            </w:r>
          </w:p>
        </w:tc>
        <w:tc>
          <w:tcPr>
            <w:tcW w:w="825" w:type="dxa"/>
            <w:vAlign w:val="center"/>
          </w:tcPr>
          <w:p w14:paraId="0F4EC4F9">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助教</w:t>
            </w:r>
          </w:p>
        </w:tc>
        <w:tc>
          <w:tcPr>
            <w:tcW w:w="1008" w:type="dxa"/>
            <w:vAlign w:val="center"/>
          </w:tcPr>
          <w:p w14:paraId="3959B20C">
            <w:pPr>
              <w:spacing w:line="240" w:lineRule="exact"/>
              <w:ind w:firstLine="110"/>
              <w:jc w:val="center"/>
              <w:rPr>
                <w:rFonts w:ascii="微软雅黑" w:hAnsi="微软雅黑" w:eastAsia="微软雅黑" w:cs="微软雅黑"/>
                <w:b/>
                <w:bCs/>
                <w:spacing w:val="-2"/>
                <w:highlight w:val="none"/>
              </w:rPr>
            </w:pPr>
            <w:r>
              <w:rPr>
                <w:rFonts w:ascii="微软雅黑" w:hAnsi="微软雅黑" w:eastAsia="微软雅黑" w:cs="微软雅黑"/>
                <w:b/>
                <w:bCs/>
                <w:spacing w:val="-2"/>
                <w:highlight w:val="none"/>
              </w:rPr>
              <w:t xml:space="preserve">其他  </w:t>
            </w:r>
          </w:p>
          <w:p w14:paraId="793EC5AB">
            <w:pPr>
              <w:spacing w:line="240" w:lineRule="exact"/>
              <w:ind w:firstLine="110"/>
              <w:jc w:val="center"/>
              <w:rPr>
                <w:rFonts w:ascii="微软雅黑" w:hAnsi="微软雅黑" w:eastAsia="微软雅黑" w:cs="微软雅黑"/>
                <w:highlight w:val="none"/>
              </w:rPr>
            </w:pPr>
            <w:r>
              <w:rPr>
                <w:rFonts w:ascii="微软雅黑" w:hAnsi="微软雅黑" w:eastAsia="微软雅黑" w:cs="微软雅黑"/>
                <w:b/>
                <w:bCs/>
                <w:spacing w:val="-2"/>
                <w:highlight w:val="none"/>
              </w:rPr>
              <w:t>正高级</w:t>
            </w:r>
          </w:p>
        </w:tc>
        <w:tc>
          <w:tcPr>
            <w:tcW w:w="950" w:type="dxa"/>
            <w:vAlign w:val="center"/>
          </w:tcPr>
          <w:p w14:paraId="6D58E93F">
            <w:pPr>
              <w:spacing w:line="240" w:lineRule="exact"/>
              <w:ind w:firstLine="109"/>
              <w:jc w:val="center"/>
              <w:rPr>
                <w:rFonts w:ascii="微软雅黑" w:hAnsi="微软雅黑" w:eastAsia="微软雅黑" w:cs="微软雅黑"/>
                <w:b/>
                <w:bCs/>
                <w:spacing w:val="-2"/>
                <w:highlight w:val="none"/>
              </w:rPr>
            </w:pPr>
            <w:r>
              <w:rPr>
                <w:rFonts w:ascii="微软雅黑" w:hAnsi="微软雅黑" w:eastAsia="微软雅黑" w:cs="微软雅黑"/>
                <w:b/>
                <w:bCs/>
                <w:spacing w:val="-2"/>
                <w:highlight w:val="none"/>
              </w:rPr>
              <w:t>其他</w:t>
            </w:r>
          </w:p>
          <w:p w14:paraId="7C89E1EE">
            <w:pPr>
              <w:spacing w:line="240" w:lineRule="exact"/>
              <w:ind w:firstLine="109"/>
              <w:jc w:val="center"/>
              <w:rPr>
                <w:rFonts w:ascii="微软雅黑" w:hAnsi="微软雅黑" w:eastAsia="微软雅黑" w:cs="微软雅黑"/>
                <w:highlight w:val="none"/>
              </w:rPr>
            </w:pPr>
            <w:r>
              <w:rPr>
                <w:rFonts w:ascii="微软雅黑" w:hAnsi="微软雅黑" w:eastAsia="微软雅黑" w:cs="微软雅黑"/>
                <w:b/>
                <w:bCs/>
                <w:spacing w:val="-2"/>
                <w:highlight w:val="none"/>
              </w:rPr>
              <w:t>副高级</w:t>
            </w:r>
          </w:p>
        </w:tc>
        <w:tc>
          <w:tcPr>
            <w:tcW w:w="907" w:type="dxa"/>
            <w:vAlign w:val="center"/>
          </w:tcPr>
          <w:p w14:paraId="26645A98">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2"/>
                <w:highlight w:val="none"/>
              </w:rPr>
              <w:t>其他</w:t>
            </w:r>
          </w:p>
          <w:p w14:paraId="1777F969">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6"/>
                <w:highlight w:val="none"/>
              </w:rPr>
              <w:t>中级</w:t>
            </w:r>
          </w:p>
        </w:tc>
        <w:tc>
          <w:tcPr>
            <w:tcW w:w="859" w:type="dxa"/>
            <w:vAlign w:val="center"/>
          </w:tcPr>
          <w:p w14:paraId="31D2C672">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2"/>
                <w:highlight w:val="none"/>
              </w:rPr>
              <w:t>其他</w:t>
            </w:r>
          </w:p>
          <w:p w14:paraId="15D14A60">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初级</w:t>
            </w:r>
          </w:p>
        </w:tc>
        <w:tc>
          <w:tcPr>
            <w:tcW w:w="1140" w:type="dxa"/>
            <w:vAlign w:val="center"/>
          </w:tcPr>
          <w:p w14:paraId="286A197C">
            <w:pPr>
              <w:spacing w:line="240" w:lineRule="exact"/>
              <w:jc w:val="center"/>
              <w:rPr>
                <w:rFonts w:ascii="微软雅黑" w:hAnsi="微软雅黑" w:eastAsia="微软雅黑" w:cs="微软雅黑"/>
                <w:highlight w:val="none"/>
              </w:rPr>
            </w:pPr>
            <w:r>
              <w:rPr>
                <w:rFonts w:ascii="微软雅黑" w:hAnsi="微软雅黑" w:eastAsia="微软雅黑" w:cs="微软雅黑"/>
                <w:b/>
                <w:bCs/>
                <w:spacing w:val="-1"/>
                <w:highlight w:val="none"/>
              </w:rPr>
              <w:t>未评级</w:t>
            </w:r>
          </w:p>
        </w:tc>
      </w:tr>
      <w:tr w14:paraId="418C6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1A52DB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346" w:type="dxa"/>
            <w:vAlign w:val="center"/>
          </w:tcPr>
          <w:p w14:paraId="19E8C2B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426" w:type="dxa"/>
            <w:vAlign w:val="center"/>
          </w:tcPr>
          <w:p w14:paraId="157C76F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938" w:type="dxa"/>
            <w:vAlign w:val="center"/>
          </w:tcPr>
          <w:p w14:paraId="30CCDD7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42</w:t>
            </w:r>
          </w:p>
        </w:tc>
        <w:tc>
          <w:tcPr>
            <w:tcW w:w="856" w:type="dxa"/>
            <w:vAlign w:val="center"/>
          </w:tcPr>
          <w:p w14:paraId="40F7256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3C620B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79" w:type="dxa"/>
            <w:vAlign w:val="center"/>
          </w:tcPr>
          <w:p w14:paraId="04DD436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825" w:type="dxa"/>
            <w:vAlign w:val="center"/>
          </w:tcPr>
          <w:p w14:paraId="4ECCFCC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28</w:t>
            </w:r>
          </w:p>
        </w:tc>
        <w:tc>
          <w:tcPr>
            <w:tcW w:w="1008" w:type="dxa"/>
            <w:vAlign w:val="center"/>
          </w:tcPr>
          <w:p w14:paraId="06CC342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60389D1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70D3385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1438344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123E4A8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r>
      <w:tr w14:paraId="1D4A9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74071E3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346" w:type="dxa"/>
            <w:vAlign w:val="center"/>
          </w:tcPr>
          <w:p w14:paraId="1B0EFE1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426" w:type="dxa"/>
            <w:vAlign w:val="center"/>
          </w:tcPr>
          <w:p w14:paraId="676DD52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938" w:type="dxa"/>
            <w:vAlign w:val="center"/>
          </w:tcPr>
          <w:p w14:paraId="3F712A1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856" w:type="dxa"/>
            <w:vAlign w:val="center"/>
          </w:tcPr>
          <w:p w14:paraId="0FE350E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13F3BB2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37FB27B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825" w:type="dxa"/>
            <w:vAlign w:val="center"/>
          </w:tcPr>
          <w:p w14:paraId="0B8BC75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008" w:type="dxa"/>
            <w:vAlign w:val="center"/>
          </w:tcPr>
          <w:p w14:paraId="1E5DF2D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61C46B8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3A916F8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57E436E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1787DCE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r>
      <w:tr w14:paraId="7CB16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CC42B2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346" w:type="dxa"/>
            <w:vAlign w:val="center"/>
          </w:tcPr>
          <w:p w14:paraId="5289116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426" w:type="dxa"/>
            <w:vAlign w:val="center"/>
          </w:tcPr>
          <w:p w14:paraId="0C7E042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938" w:type="dxa"/>
            <w:vAlign w:val="center"/>
          </w:tcPr>
          <w:p w14:paraId="458E309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856" w:type="dxa"/>
            <w:vAlign w:val="center"/>
          </w:tcPr>
          <w:p w14:paraId="4114048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2C70E1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79" w:type="dxa"/>
            <w:vAlign w:val="center"/>
          </w:tcPr>
          <w:p w14:paraId="651896B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7BFECDB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008" w:type="dxa"/>
            <w:vAlign w:val="center"/>
          </w:tcPr>
          <w:p w14:paraId="762BBD1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23E1103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07" w:type="dxa"/>
            <w:vAlign w:val="center"/>
          </w:tcPr>
          <w:p w14:paraId="0287420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608F48A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5AB6E7C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r>
      <w:tr w14:paraId="4F491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0EF814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346" w:type="dxa"/>
            <w:vAlign w:val="center"/>
          </w:tcPr>
          <w:p w14:paraId="45EC48F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426" w:type="dxa"/>
            <w:vAlign w:val="center"/>
          </w:tcPr>
          <w:p w14:paraId="0A863EA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938" w:type="dxa"/>
            <w:vAlign w:val="center"/>
          </w:tcPr>
          <w:p w14:paraId="367FC43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856" w:type="dxa"/>
            <w:vAlign w:val="center"/>
          </w:tcPr>
          <w:p w14:paraId="258667F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62BF0FD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979" w:type="dxa"/>
            <w:vAlign w:val="center"/>
          </w:tcPr>
          <w:p w14:paraId="30A7BFE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825" w:type="dxa"/>
            <w:vAlign w:val="center"/>
          </w:tcPr>
          <w:p w14:paraId="024EE3B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008" w:type="dxa"/>
            <w:vAlign w:val="center"/>
          </w:tcPr>
          <w:p w14:paraId="4D80EF5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40BAA59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1C4C1CB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05CA96D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6A5CAE7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41B97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2420AEF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346" w:type="dxa"/>
            <w:vAlign w:val="center"/>
          </w:tcPr>
          <w:p w14:paraId="46477F1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426" w:type="dxa"/>
            <w:vAlign w:val="center"/>
          </w:tcPr>
          <w:p w14:paraId="035A813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938" w:type="dxa"/>
            <w:vAlign w:val="center"/>
          </w:tcPr>
          <w:p w14:paraId="73F00C9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856" w:type="dxa"/>
            <w:vAlign w:val="center"/>
          </w:tcPr>
          <w:p w14:paraId="77F0B71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309B1A5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2CE6D83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825" w:type="dxa"/>
            <w:vAlign w:val="center"/>
          </w:tcPr>
          <w:p w14:paraId="09408C4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008" w:type="dxa"/>
            <w:vAlign w:val="center"/>
          </w:tcPr>
          <w:p w14:paraId="7E5044A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1A99BAB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1F06700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12790FE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1A5C4D1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r>
      <w:tr w14:paraId="529BF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677C0B6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346" w:type="dxa"/>
            <w:vAlign w:val="center"/>
          </w:tcPr>
          <w:p w14:paraId="19BAD99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426" w:type="dxa"/>
            <w:vAlign w:val="center"/>
          </w:tcPr>
          <w:p w14:paraId="76E5EE9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938" w:type="dxa"/>
            <w:vAlign w:val="center"/>
          </w:tcPr>
          <w:p w14:paraId="42E6011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31</w:t>
            </w:r>
          </w:p>
        </w:tc>
        <w:tc>
          <w:tcPr>
            <w:tcW w:w="856" w:type="dxa"/>
            <w:vAlign w:val="center"/>
          </w:tcPr>
          <w:p w14:paraId="4B0980B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40" w:type="dxa"/>
            <w:vAlign w:val="center"/>
          </w:tcPr>
          <w:p w14:paraId="34056A6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5573BAF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825" w:type="dxa"/>
            <w:vAlign w:val="center"/>
          </w:tcPr>
          <w:p w14:paraId="237831C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08" w:type="dxa"/>
            <w:vAlign w:val="center"/>
          </w:tcPr>
          <w:p w14:paraId="0C2901D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3D8402D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6352E49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1C09676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6D10C30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0A71C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1245E9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346" w:type="dxa"/>
            <w:vAlign w:val="center"/>
          </w:tcPr>
          <w:p w14:paraId="6E89F7D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426" w:type="dxa"/>
            <w:vAlign w:val="center"/>
          </w:tcPr>
          <w:p w14:paraId="59E937C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938" w:type="dxa"/>
            <w:vAlign w:val="center"/>
          </w:tcPr>
          <w:p w14:paraId="68958A8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856" w:type="dxa"/>
            <w:vAlign w:val="center"/>
          </w:tcPr>
          <w:p w14:paraId="53016D8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77CF76F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396573C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25" w:type="dxa"/>
            <w:vAlign w:val="center"/>
          </w:tcPr>
          <w:p w14:paraId="686B13C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008" w:type="dxa"/>
            <w:vAlign w:val="center"/>
          </w:tcPr>
          <w:p w14:paraId="6896C63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233E9FA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07" w:type="dxa"/>
            <w:vAlign w:val="center"/>
          </w:tcPr>
          <w:p w14:paraId="4CC49DB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43FB35B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2740EB7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7E044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4505C2E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346" w:type="dxa"/>
            <w:vAlign w:val="center"/>
          </w:tcPr>
          <w:p w14:paraId="54C869F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426" w:type="dxa"/>
            <w:vAlign w:val="center"/>
          </w:tcPr>
          <w:p w14:paraId="760DB94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938" w:type="dxa"/>
            <w:vAlign w:val="center"/>
          </w:tcPr>
          <w:p w14:paraId="106F983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856" w:type="dxa"/>
            <w:vAlign w:val="center"/>
          </w:tcPr>
          <w:p w14:paraId="6B519C3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2D8F250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220E0A0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825" w:type="dxa"/>
            <w:vAlign w:val="center"/>
          </w:tcPr>
          <w:p w14:paraId="79498E0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008" w:type="dxa"/>
            <w:vAlign w:val="center"/>
          </w:tcPr>
          <w:p w14:paraId="4A63423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1EEEB6B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24A78DE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2447AF9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0B9FA37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r>
      <w:tr w14:paraId="38A0D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4A75484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346" w:type="dxa"/>
            <w:vAlign w:val="center"/>
          </w:tcPr>
          <w:p w14:paraId="2E688EB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426" w:type="dxa"/>
            <w:vAlign w:val="center"/>
          </w:tcPr>
          <w:p w14:paraId="058A34A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938" w:type="dxa"/>
            <w:vAlign w:val="center"/>
          </w:tcPr>
          <w:p w14:paraId="357C564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856" w:type="dxa"/>
            <w:vAlign w:val="center"/>
          </w:tcPr>
          <w:p w14:paraId="2648643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76BF9CE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2F13907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184AF9F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08" w:type="dxa"/>
            <w:vAlign w:val="center"/>
          </w:tcPr>
          <w:p w14:paraId="3E6312A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2651FDC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07" w:type="dxa"/>
            <w:vAlign w:val="center"/>
          </w:tcPr>
          <w:p w14:paraId="7D4AE13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859" w:type="dxa"/>
            <w:vAlign w:val="center"/>
          </w:tcPr>
          <w:p w14:paraId="291FB79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0511719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w:t>
            </w:r>
          </w:p>
        </w:tc>
      </w:tr>
      <w:tr w14:paraId="5F810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DA3CE4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346" w:type="dxa"/>
            <w:vAlign w:val="center"/>
          </w:tcPr>
          <w:p w14:paraId="468E053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426" w:type="dxa"/>
            <w:vAlign w:val="center"/>
          </w:tcPr>
          <w:p w14:paraId="7F37BDD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938" w:type="dxa"/>
            <w:vAlign w:val="center"/>
          </w:tcPr>
          <w:p w14:paraId="4BF6299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856" w:type="dxa"/>
            <w:vAlign w:val="center"/>
          </w:tcPr>
          <w:p w14:paraId="192FA63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3589C4F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1E5122B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825" w:type="dxa"/>
            <w:vAlign w:val="center"/>
          </w:tcPr>
          <w:p w14:paraId="1EC4EB4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008" w:type="dxa"/>
            <w:vAlign w:val="center"/>
          </w:tcPr>
          <w:p w14:paraId="6458731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1A3C697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1EF1592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859" w:type="dxa"/>
            <w:vAlign w:val="center"/>
          </w:tcPr>
          <w:p w14:paraId="064F324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24BE990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r>
      <w:tr w14:paraId="546CEB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CE2849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346" w:type="dxa"/>
            <w:vAlign w:val="center"/>
          </w:tcPr>
          <w:p w14:paraId="2DA0C18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426" w:type="dxa"/>
            <w:vAlign w:val="center"/>
          </w:tcPr>
          <w:p w14:paraId="7D002A9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938" w:type="dxa"/>
            <w:vAlign w:val="center"/>
          </w:tcPr>
          <w:p w14:paraId="69CF20F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856" w:type="dxa"/>
            <w:vAlign w:val="center"/>
          </w:tcPr>
          <w:p w14:paraId="4D800DC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6CE39C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2233512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22DEB6A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008" w:type="dxa"/>
            <w:vAlign w:val="center"/>
          </w:tcPr>
          <w:p w14:paraId="28EF2E1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38A1274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34041B5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662189B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62A37E1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2F9ACF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EC2E91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346" w:type="dxa"/>
            <w:vAlign w:val="center"/>
          </w:tcPr>
          <w:p w14:paraId="5C97BF4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426" w:type="dxa"/>
            <w:vAlign w:val="center"/>
          </w:tcPr>
          <w:p w14:paraId="7C1AAC2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938" w:type="dxa"/>
            <w:vAlign w:val="center"/>
          </w:tcPr>
          <w:p w14:paraId="33F81B4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36</w:t>
            </w:r>
          </w:p>
        </w:tc>
        <w:tc>
          <w:tcPr>
            <w:tcW w:w="856" w:type="dxa"/>
            <w:vAlign w:val="center"/>
          </w:tcPr>
          <w:p w14:paraId="3979669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52A69E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66CB5F9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825" w:type="dxa"/>
            <w:vAlign w:val="center"/>
          </w:tcPr>
          <w:p w14:paraId="5E63032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08" w:type="dxa"/>
            <w:vAlign w:val="center"/>
          </w:tcPr>
          <w:p w14:paraId="1E0E59B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056A95B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42243CB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3709C5C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727A9A6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r>
      <w:tr w14:paraId="48A3B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18E049B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346" w:type="dxa"/>
            <w:vAlign w:val="center"/>
          </w:tcPr>
          <w:p w14:paraId="38BE01F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426" w:type="dxa"/>
            <w:vAlign w:val="center"/>
          </w:tcPr>
          <w:p w14:paraId="1658948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938" w:type="dxa"/>
            <w:vAlign w:val="center"/>
          </w:tcPr>
          <w:p w14:paraId="54E33CB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c>
          <w:tcPr>
            <w:tcW w:w="856" w:type="dxa"/>
            <w:vAlign w:val="center"/>
          </w:tcPr>
          <w:p w14:paraId="333569E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17ACAC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79" w:type="dxa"/>
            <w:vAlign w:val="center"/>
          </w:tcPr>
          <w:p w14:paraId="1261CB0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1870EE4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08" w:type="dxa"/>
            <w:vAlign w:val="center"/>
          </w:tcPr>
          <w:p w14:paraId="15F0680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4FD35FB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2050562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859" w:type="dxa"/>
            <w:vAlign w:val="center"/>
          </w:tcPr>
          <w:p w14:paraId="240D15F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53714E2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21</w:t>
            </w:r>
          </w:p>
        </w:tc>
      </w:tr>
      <w:tr w14:paraId="402AA7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7DDFE5C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346" w:type="dxa"/>
            <w:vAlign w:val="center"/>
          </w:tcPr>
          <w:p w14:paraId="59A958E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426" w:type="dxa"/>
            <w:vAlign w:val="center"/>
          </w:tcPr>
          <w:p w14:paraId="18DF1BE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938" w:type="dxa"/>
            <w:vAlign w:val="center"/>
          </w:tcPr>
          <w:p w14:paraId="17C720C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856" w:type="dxa"/>
            <w:vAlign w:val="center"/>
          </w:tcPr>
          <w:p w14:paraId="088F8CB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602C88E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15D6668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825" w:type="dxa"/>
            <w:vAlign w:val="center"/>
          </w:tcPr>
          <w:p w14:paraId="382E6FA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008" w:type="dxa"/>
            <w:vAlign w:val="center"/>
          </w:tcPr>
          <w:p w14:paraId="3089165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3189AC8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6623A64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0E1E9B2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1935E6B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r>
      <w:tr w14:paraId="67CEB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3286502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46" w:type="dxa"/>
            <w:vAlign w:val="center"/>
          </w:tcPr>
          <w:p w14:paraId="6E1545C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426" w:type="dxa"/>
            <w:vAlign w:val="center"/>
          </w:tcPr>
          <w:p w14:paraId="7401B03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938" w:type="dxa"/>
            <w:vAlign w:val="center"/>
          </w:tcPr>
          <w:p w14:paraId="52F674D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44</w:t>
            </w:r>
          </w:p>
        </w:tc>
        <w:tc>
          <w:tcPr>
            <w:tcW w:w="856" w:type="dxa"/>
            <w:vAlign w:val="center"/>
          </w:tcPr>
          <w:p w14:paraId="411AA76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2C5D008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79" w:type="dxa"/>
            <w:vAlign w:val="center"/>
          </w:tcPr>
          <w:p w14:paraId="0D9C5ED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6C663D0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008" w:type="dxa"/>
            <w:vAlign w:val="center"/>
          </w:tcPr>
          <w:p w14:paraId="52D4B80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412DCCA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21BE22B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0E5D76F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16B20E9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31</w:t>
            </w:r>
          </w:p>
        </w:tc>
      </w:tr>
      <w:tr w14:paraId="637319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8BC600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46" w:type="dxa"/>
            <w:vAlign w:val="center"/>
          </w:tcPr>
          <w:p w14:paraId="1E86FB5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426" w:type="dxa"/>
            <w:vAlign w:val="center"/>
          </w:tcPr>
          <w:p w14:paraId="6EE715E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938" w:type="dxa"/>
            <w:vAlign w:val="center"/>
          </w:tcPr>
          <w:p w14:paraId="420E83B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51</w:t>
            </w:r>
          </w:p>
        </w:tc>
        <w:tc>
          <w:tcPr>
            <w:tcW w:w="856" w:type="dxa"/>
            <w:vAlign w:val="center"/>
          </w:tcPr>
          <w:p w14:paraId="47F4DE0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252A494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79" w:type="dxa"/>
            <w:vAlign w:val="center"/>
          </w:tcPr>
          <w:p w14:paraId="500C101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152A140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29</w:t>
            </w:r>
          </w:p>
        </w:tc>
        <w:tc>
          <w:tcPr>
            <w:tcW w:w="1008" w:type="dxa"/>
            <w:vAlign w:val="center"/>
          </w:tcPr>
          <w:p w14:paraId="2A4E0B8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6BBD78B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70A362F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116D07E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3A13B53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20</w:t>
            </w:r>
          </w:p>
        </w:tc>
      </w:tr>
      <w:tr w14:paraId="3B14B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4FAAE9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346" w:type="dxa"/>
            <w:vAlign w:val="center"/>
          </w:tcPr>
          <w:p w14:paraId="45BE0B6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426" w:type="dxa"/>
            <w:vAlign w:val="center"/>
          </w:tcPr>
          <w:p w14:paraId="0705D91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938" w:type="dxa"/>
            <w:vAlign w:val="center"/>
          </w:tcPr>
          <w:p w14:paraId="7A8D562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76</w:t>
            </w:r>
          </w:p>
        </w:tc>
        <w:tc>
          <w:tcPr>
            <w:tcW w:w="856" w:type="dxa"/>
            <w:vAlign w:val="center"/>
          </w:tcPr>
          <w:p w14:paraId="3F7A425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283C95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1602B6F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825" w:type="dxa"/>
            <w:vAlign w:val="center"/>
          </w:tcPr>
          <w:p w14:paraId="7259686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008" w:type="dxa"/>
            <w:vAlign w:val="center"/>
          </w:tcPr>
          <w:p w14:paraId="3521226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5D9B952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1AFF687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859" w:type="dxa"/>
            <w:vAlign w:val="center"/>
          </w:tcPr>
          <w:p w14:paraId="43AE00B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4AC7C03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r>
      <w:tr w14:paraId="23E4F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746DF0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46" w:type="dxa"/>
            <w:vAlign w:val="center"/>
          </w:tcPr>
          <w:p w14:paraId="29281DE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426" w:type="dxa"/>
            <w:vAlign w:val="center"/>
          </w:tcPr>
          <w:p w14:paraId="342D961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938" w:type="dxa"/>
            <w:vAlign w:val="center"/>
          </w:tcPr>
          <w:p w14:paraId="75E2FDA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856" w:type="dxa"/>
            <w:vAlign w:val="center"/>
          </w:tcPr>
          <w:p w14:paraId="4444980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57B6BAD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4C4020F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825" w:type="dxa"/>
            <w:vAlign w:val="center"/>
          </w:tcPr>
          <w:p w14:paraId="18C86D8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008" w:type="dxa"/>
            <w:vAlign w:val="center"/>
          </w:tcPr>
          <w:p w14:paraId="7593100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2D611F9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48C270D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742EB57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17C4EC3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r>
      <w:tr w14:paraId="778D1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51FDD1E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346" w:type="dxa"/>
            <w:vAlign w:val="center"/>
          </w:tcPr>
          <w:p w14:paraId="006E383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426" w:type="dxa"/>
            <w:vAlign w:val="center"/>
          </w:tcPr>
          <w:p w14:paraId="7B12011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938" w:type="dxa"/>
            <w:vAlign w:val="center"/>
          </w:tcPr>
          <w:p w14:paraId="6CCF226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856" w:type="dxa"/>
            <w:vAlign w:val="center"/>
          </w:tcPr>
          <w:p w14:paraId="2657B78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0FAEDC2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6C12D9F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825" w:type="dxa"/>
            <w:vAlign w:val="center"/>
          </w:tcPr>
          <w:p w14:paraId="288C8B0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008" w:type="dxa"/>
            <w:vAlign w:val="center"/>
          </w:tcPr>
          <w:p w14:paraId="3EA95E2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03A3B5E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907" w:type="dxa"/>
            <w:vAlign w:val="center"/>
          </w:tcPr>
          <w:p w14:paraId="33EC243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12F6BE2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55FA662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r>
      <w:tr w14:paraId="0F42E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0C64A09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346" w:type="dxa"/>
            <w:vAlign w:val="center"/>
          </w:tcPr>
          <w:p w14:paraId="77BFA26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426" w:type="dxa"/>
            <w:vAlign w:val="center"/>
          </w:tcPr>
          <w:p w14:paraId="5BFA7A7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938" w:type="dxa"/>
            <w:vAlign w:val="center"/>
          </w:tcPr>
          <w:p w14:paraId="4BA4124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856" w:type="dxa"/>
            <w:vAlign w:val="center"/>
          </w:tcPr>
          <w:p w14:paraId="29EB7D4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40" w:type="dxa"/>
            <w:vAlign w:val="center"/>
          </w:tcPr>
          <w:p w14:paraId="5273B63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979" w:type="dxa"/>
            <w:vAlign w:val="center"/>
          </w:tcPr>
          <w:p w14:paraId="2A66F21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825" w:type="dxa"/>
            <w:vAlign w:val="center"/>
          </w:tcPr>
          <w:p w14:paraId="54DF148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008" w:type="dxa"/>
            <w:vAlign w:val="center"/>
          </w:tcPr>
          <w:p w14:paraId="70B7E20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068F3B5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1FE27AC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433A56A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4B8CF87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5CF2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5352D21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346" w:type="dxa"/>
            <w:vAlign w:val="center"/>
          </w:tcPr>
          <w:p w14:paraId="7E8B074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426" w:type="dxa"/>
            <w:vAlign w:val="center"/>
          </w:tcPr>
          <w:p w14:paraId="0254E26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938" w:type="dxa"/>
            <w:vAlign w:val="center"/>
          </w:tcPr>
          <w:p w14:paraId="0D27193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856" w:type="dxa"/>
            <w:vAlign w:val="center"/>
          </w:tcPr>
          <w:p w14:paraId="3B84C48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40" w:type="dxa"/>
            <w:vAlign w:val="center"/>
          </w:tcPr>
          <w:p w14:paraId="609B6A0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403B9A4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825" w:type="dxa"/>
            <w:vAlign w:val="center"/>
          </w:tcPr>
          <w:p w14:paraId="1F4CC90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008" w:type="dxa"/>
            <w:vAlign w:val="center"/>
          </w:tcPr>
          <w:p w14:paraId="2B9D3B4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1DC3ECB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5052D5D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6A726C2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0F7CEDD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03CF2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31AB178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346" w:type="dxa"/>
            <w:vAlign w:val="center"/>
          </w:tcPr>
          <w:p w14:paraId="6EEA3CF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426" w:type="dxa"/>
            <w:vAlign w:val="center"/>
          </w:tcPr>
          <w:p w14:paraId="37E60E1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938" w:type="dxa"/>
            <w:vAlign w:val="center"/>
          </w:tcPr>
          <w:p w14:paraId="51026FD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856" w:type="dxa"/>
            <w:vAlign w:val="center"/>
          </w:tcPr>
          <w:p w14:paraId="4A10E1A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308522F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5C93116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25" w:type="dxa"/>
            <w:vAlign w:val="center"/>
          </w:tcPr>
          <w:p w14:paraId="491AD36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08" w:type="dxa"/>
            <w:vAlign w:val="center"/>
          </w:tcPr>
          <w:p w14:paraId="517D2C8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3618E24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225E1C5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0051DDF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6053CE7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r>
      <w:tr w14:paraId="419EE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33CF279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346" w:type="dxa"/>
            <w:vAlign w:val="center"/>
          </w:tcPr>
          <w:p w14:paraId="1563A47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426" w:type="dxa"/>
            <w:vAlign w:val="center"/>
          </w:tcPr>
          <w:p w14:paraId="4E6250F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938" w:type="dxa"/>
            <w:vAlign w:val="center"/>
          </w:tcPr>
          <w:p w14:paraId="44B53EB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856" w:type="dxa"/>
            <w:vAlign w:val="center"/>
          </w:tcPr>
          <w:p w14:paraId="451CD7D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1A374B3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79" w:type="dxa"/>
            <w:vAlign w:val="center"/>
          </w:tcPr>
          <w:p w14:paraId="661A7D4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25" w:type="dxa"/>
            <w:vAlign w:val="center"/>
          </w:tcPr>
          <w:p w14:paraId="3D713D7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008" w:type="dxa"/>
            <w:vAlign w:val="center"/>
          </w:tcPr>
          <w:p w14:paraId="1D169B0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4687C95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3793111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12DFAFB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4FD1557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w:t>
            </w:r>
          </w:p>
        </w:tc>
      </w:tr>
      <w:tr w14:paraId="2C8143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1EB0BCA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346" w:type="dxa"/>
            <w:vAlign w:val="center"/>
          </w:tcPr>
          <w:p w14:paraId="3B55617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426" w:type="dxa"/>
            <w:vAlign w:val="center"/>
          </w:tcPr>
          <w:p w14:paraId="0475CA6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938" w:type="dxa"/>
            <w:vAlign w:val="center"/>
          </w:tcPr>
          <w:p w14:paraId="131801B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856" w:type="dxa"/>
            <w:vAlign w:val="center"/>
          </w:tcPr>
          <w:p w14:paraId="3138A48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7AF641A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979" w:type="dxa"/>
            <w:vAlign w:val="center"/>
          </w:tcPr>
          <w:p w14:paraId="252CF72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825" w:type="dxa"/>
            <w:vAlign w:val="center"/>
          </w:tcPr>
          <w:p w14:paraId="5FB8A7B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008" w:type="dxa"/>
            <w:vAlign w:val="center"/>
          </w:tcPr>
          <w:p w14:paraId="7D8B332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22E9608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3FDE969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859" w:type="dxa"/>
            <w:vAlign w:val="center"/>
          </w:tcPr>
          <w:p w14:paraId="6129DB5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41B550C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r>
      <w:tr w14:paraId="684D4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exact"/>
          <w:jc w:val="center"/>
        </w:trPr>
        <w:tc>
          <w:tcPr>
            <w:tcW w:w="784" w:type="dxa"/>
            <w:vAlign w:val="center"/>
          </w:tcPr>
          <w:p w14:paraId="4B7F9AF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346" w:type="dxa"/>
            <w:vAlign w:val="center"/>
          </w:tcPr>
          <w:p w14:paraId="2BA2E4F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426" w:type="dxa"/>
            <w:vAlign w:val="center"/>
          </w:tcPr>
          <w:p w14:paraId="1AC0DF1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938" w:type="dxa"/>
            <w:vAlign w:val="center"/>
          </w:tcPr>
          <w:p w14:paraId="5B7F34D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856" w:type="dxa"/>
            <w:vAlign w:val="center"/>
          </w:tcPr>
          <w:p w14:paraId="60A8C5F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40" w:type="dxa"/>
            <w:vAlign w:val="center"/>
          </w:tcPr>
          <w:p w14:paraId="2B24405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979" w:type="dxa"/>
            <w:vAlign w:val="center"/>
          </w:tcPr>
          <w:p w14:paraId="54257C5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825" w:type="dxa"/>
            <w:vAlign w:val="center"/>
          </w:tcPr>
          <w:p w14:paraId="20AFB22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008" w:type="dxa"/>
            <w:vAlign w:val="center"/>
          </w:tcPr>
          <w:p w14:paraId="677E8B6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50" w:type="dxa"/>
            <w:vAlign w:val="center"/>
          </w:tcPr>
          <w:p w14:paraId="2228332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907" w:type="dxa"/>
            <w:vAlign w:val="center"/>
          </w:tcPr>
          <w:p w14:paraId="238FB2B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859" w:type="dxa"/>
            <w:vAlign w:val="center"/>
          </w:tcPr>
          <w:p w14:paraId="58670F0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140" w:type="dxa"/>
            <w:vAlign w:val="center"/>
          </w:tcPr>
          <w:p w14:paraId="697DECC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bl>
    <w:p w14:paraId="36A34B3D">
      <w:pPr>
        <w:spacing w:line="400" w:lineRule="exact"/>
        <w:ind w:right="323"/>
        <w:rPr>
          <w:rFonts w:hint="eastAsia" w:ascii="黑体" w:hAnsi="黑体" w:eastAsia="黑体" w:cs="黑体"/>
          <w:bCs/>
          <w:sz w:val="30"/>
          <w:szCs w:val="30"/>
          <w:highlight w:val="none"/>
          <w:lang w:eastAsia="zh-CN"/>
        </w:rPr>
        <w:sectPr>
          <w:headerReference r:id="rId7" w:type="default"/>
          <w:footerReference r:id="rId8" w:type="default"/>
          <w:pgSz w:w="16838" w:h="11906" w:orient="landscape"/>
          <w:pgMar w:top="1587" w:right="1440" w:bottom="1474" w:left="1440" w:header="567" w:footer="992" w:gutter="0"/>
          <w:pgNumType w:fmt="decimal"/>
          <w:cols w:space="425" w:num="1"/>
          <w:docGrid w:type="lines" w:linePitch="312" w:charSpace="0"/>
        </w:sectPr>
      </w:pPr>
    </w:p>
    <w:p w14:paraId="34548578">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附表3</w:t>
      </w:r>
    </w:p>
    <w:p w14:paraId="7A3CAB31">
      <w:pPr>
        <w:spacing w:before="45" w:line="226" w:lineRule="auto"/>
        <w:ind w:left="2908"/>
        <w:outlineLvl w:val="0"/>
        <w:rPr>
          <w:rFonts w:ascii="宋体" w:hAnsi="宋体" w:eastAsia="宋体" w:cs="宋体"/>
          <w:b/>
          <w:bCs/>
          <w:sz w:val="28"/>
          <w:szCs w:val="28"/>
          <w:highlight w:val="none"/>
          <w:lang w:eastAsia="zh-CN"/>
        </w:rPr>
      </w:pPr>
      <w:bookmarkStart w:id="91" w:name="bookmark106"/>
      <w:bookmarkEnd w:id="91"/>
      <w:bookmarkStart w:id="92" w:name="_Toc15783"/>
      <w:bookmarkStart w:id="93" w:name="_Toc10241"/>
      <w:r>
        <w:rPr>
          <w:rFonts w:hint="eastAsia" w:ascii="宋体" w:hAnsi="宋体" w:eastAsia="宋体" w:cs="宋体"/>
          <w:b/>
          <w:bCs/>
          <w:spacing w:val="9"/>
          <w:sz w:val="28"/>
          <w:szCs w:val="28"/>
          <w:highlight w:val="none"/>
          <w:lang w:eastAsia="zh-CN"/>
        </w:rPr>
        <w:t>各专业教师学位结构一览表</w:t>
      </w:r>
      <w:bookmarkEnd w:id="92"/>
      <w:bookmarkEnd w:id="93"/>
    </w:p>
    <w:p w14:paraId="0B5B5F1F">
      <w:pPr>
        <w:spacing w:line="222" w:lineRule="exact"/>
        <w:rPr>
          <w:rFonts w:ascii="宋体" w:hAnsi="宋体" w:eastAsia="宋体" w:cs="宋体"/>
          <w:b/>
          <w:bCs/>
          <w:sz w:val="28"/>
          <w:szCs w:val="28"/>
          <w:highlight w:val="none"/>
          <w:lang w:eastAsia="zh-CN"/>
        </w:rPr>
      </w:pPr>
    </w:p>
    <w:tbl>
      <w:tblPr>
        <w:tblStyle w:val="24"/>
        <w:tblW w:w="9184"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4"/>
        <w:gridCol w:w="1480"/>
        <w:gridCol w:w="2399"/>
        <w:gridCol w:w="1098"/>
        <w:gridCol w:w="1039"/>
        <w:gridCol w:w="1240"/>
        <w:gridCol w:w="1084"/>
      </w:tblGrid>
      <w:tr w14:paraId="75E8A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844" w:type="dxa"/>
          </w:tcPr>
          <w:p w14:paraId="3FFDD034">
            <w:pPr>
              <w:spacing w:before="149" w:line="184" w:lineRule="auto"/>
              <w:ind w:left="202"/>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序号</w:t>
            </w:r>
          </w:p>
        </w:tc>
        <w:tc>
          <w:tcPr>
            <w:tcW w:w="1480" w:type="dxa"/>
          </w:tcPr>
          <w:p w14:paraId="433D0186">
            <w:pPr>
              <w:spacing w:before="151" w:line="183" w:lineRule="auto"/>
              <w:ind w:left="302"/>
              <w:rPr>
                <w:rFonts w:ascii="微软雅黑" w:hAnsi="微软雅黑" w:eastAsia="微软雅黑" w:cs="微软雅黑"/>
                <w:sz w:val="22"/>
                <w:szCs w:val="22"/>
                <w:highlight w:val="none"/>
              </w:rPr>
            </w:pPr>
            <w:r>
              <w:rPr>
                <w:rFonts w:ascii="微软雅黑" w:hAnsi="微软雅黑" w:eastAsia="微软雅黑" w:cs="微软雅黑"/>
                <w:b/>
                <w:bCs/>
                <w:spacing w:val="-2"/>
                <w:sz w:val="22"/>
                <w:szCs w:val="22"/>
                <w:highlight w:val="none"/>
              </w:rPr>
              <w:t>专业代码</w:t>
            </w:r>
          </w:p>
        </w:tc>
        <w:tc>
          <w:tcPr>
            <w:tcW w:w="2399" w:type="dxa"/>
          </w:tcPr>
          <w:p w14:paraId="04978C79">
            <w:pPr>
              <w:spacing w:before="151" w:line="183" w:lineRule="auto"/>
              <w:ind w:left="760"/>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专业名称</w:t>
            </w:r>
          </w:p>
        </w:tc>
        <w:tc>
          <w:tcPr>
            <w:tcW w:w="1098" w:type="dxa"/>
          </w:tcPr>
          <w:p w14:paraId="5DB190F5">
            <w:pPr>
              <w:spacing w:before="149" w:line="184" w:lineRule="auto"/>
              <w:ind w:left="330"/>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总数</w:t>
            </w:r>
          </w:p>
        </w:tc>
        <w:tc>
          <w:tcPr>
            <w:tcW w:w="1039" w:type="dxa"/>
          </w:tcPr>
          <w:p w14:paraId="06DCB5D6">
            <w:pPr>
              <w:spacing w:before="149" w:line="184" w:lineRule="auto"/>
              <w:ind w:left="300"/>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博士</w:t>
            </w:r>
          </w:p>
        </w:tc>
        <w:tc>
          <w:tcPr>
            <w:tcW w:w="1240" w:type="dxa"/>
          </w:tcPr>
          <w:p w14:paraId="7F7A4B99">
            <w:pPr>
              <w:spacing w:before="149" w:line="184" w:lineRule="auto"/>
              <w:ind w:left="180"/>
              <w:rPr>
                <w:rFonts w:ascii="微软雅黑" w:hAnsi="微软雅黑" w:eastAsia="微软雅黑" w:cs="微软雅黑"/>
                <w:sz w:val="22"/>
                <w:szCs w:val="22"/>
                <w:highlight w:val="none"/>
              </w:rPr>
            </w:pPr>
            <w:r>
              <w:rPr>
                <w:rFonts w:ascii="微软雅黑" w:hAnsi="微软雅黑" w:eastAsia="微软雅黑" w:cs="微软雅黑"/>
                <w:b/>
                <w:bCs/>
                <w:sz w:val="22"/>
                <w:szCs w:val="22"/>
                <w:highlight w:val="none"/>
              </w:rPr>
              <w:t>硕士学士</w:t>
            </w:r>
          </w:p>
        </w:tc>
        <w:tc>
          <w:tcPr>
            <w:tcW w:w="1084" w:type="dxa"/>
          </w:tcPr>
          <w:p w14:paraId="246F2ACE">
            <w:pPr>
              <w:spacing w:before="149" w:line="184" w:lineRule="auto"/>
              <w:ind w:left="211"/>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无学位</w:t>
            </w:r>
          </w:p>
        </w:tc>
      </w:tr>
      <w:tr w14:paraId="14C36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0E44757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480" w:type="dxa"/>
            <w:vAlign w:val="center"/>
          </w:tcPr>
          <w:p w14:paraId="50DEA4E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399" w:type="dxa"/>
            <w:vAlign w:val="center"/>
          </w:tcPr>
          <w:p w14:paraId="1449DEE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1098" w:type="dxa"/>
            <w:vAlign w:val="center"/>
          </w:tcPr>
          <w:p w14:paraId="22DB165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42</w:t>
            </w:r>
          </w:p>
        </w:tc>
        <w:tc>
          <w:tcPr>
            <w:tcW w:w="1039" w:type="dxa"/>
            <w:vAlign w:val="center"/>
          </w:tcPr>
          <w:p w14:paraId="1FF9C0E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6A4BB41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c>
          <w:tcPr>
            <w:tcW w:w="1084" w:type="dxa"/>
            <w:vAlign w:val="center"/>
          </w:tcPr>
          <w:p w14:paraId="4839FFE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6A3A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46EC1CE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480" w:type="dxa"/>
            <w:vAlign w:val="center"/>
          </w:tcPr>
          <w:p w14:paraId="2173416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399" w:type="dxa"/>
            <w:vAlign w:val="center"/>
          </w:tcPr>
          <w:p w14:paraId="191C952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1098" w:type="dxa"/>
            <w:vAlign w:val="center"/>
          </w:tcPr>
          <w:p w14:paraId="19B1CE1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039" w:type="dxa"/>
            <w:vAlign w:val="center"/>
          </w:tcPr>
          <w:p w14:paraId="2D2D89C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712F712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084" w:type="dxa"/>
            <w:vAlign w:val="center"/>
          </w:tcPr>
          <w:p w14:paraId="68C854E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8DC7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61DFE0C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480" w:type="dxa"/>
            <w:vAlign w:val="center"/>
          </w:tcPr>
          <w:p w14:paraId="1B92D06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399" w:type="dxa"/>
            <w:vAlign w:val="center"/>
          </w:tcPr>
          <w:p w14:paraId="5E6B743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1098" w:type="dxa"/>
            <w:vAlign w:val="center"/>
          </w:tcPr>
          <w:p w14:paraId="260314A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039" w:type="dxa"/>
            <w:vAlign w:val="center"/>
          </w:tcPr>
          <w:p w14:paraId="57893B0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69136D5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084" w:type="dxa"/>
            <w:vAlign w:val="center"/>
          </w:tcPr>
          <w:p w14:paraId="07AF179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5029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560E2E2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480" w:type="dxa"/>
            <w:vAlign w:val="center"/>
          </w:tcPr>
          <w:p w14:paraId="672281D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399" w:type="dxa"/>
            <w:vAlign w:val="center"/>
          </w:tcPr>
          <w:p w14:paraId="3DBE379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1098" w:type="dxa"/>
            <w:vAlign w:val="center"/>
          </w:tcPr>
          <w:p w14:paraId="7A1CEBC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39" w:type="dxa"/>
            <w:vAlign w:val="center"/>
          </w:tcPr>
          <w:p w14:paraId="5FC3868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5B2E706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84" w:type="dxa"/>
            <w:vAlign w:val="center"/>
          </w:tcPr>
          <w:p w14:paraId="4D36BC9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8761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6044852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480" w:type="dxa"/>
            <w:vAlign w:val="center"/>
          </w:tcPr>
          <w:p w14:paraId="335B587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399" w:type="dxa"/>
            <w:vAlign w:val="center"/>
          </w:tcPr>
          <w:p w14:paraId="06C3D68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1098" w:type="dxa"/>
            <w:vAlign w:val="center"/>
          </w:tcPr>
          <w:p w14:paraId="1B5AA31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39" w:type="dxa"/>
            <w:vAlign w:val="center"/>
          </w:tcPr>
          <w:p w14:paraId="31FB390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07EB077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84" w:type="dxa"/>
            <w:vAlign w:val="center"/>
          </w:tcPr>
          <w:p w14:paraId="09B4692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14C64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6908C44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480" w:type="dxa"/>
            <w:vAlign w:val="center"/>
          </w:tcPr>
          <w:p w14:paraId="4990717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399" w:type="dxa"/>
            <w:vAlign w:val="center"/>
          </w:tcPr>
          <w:p w14:paraId="773AB0A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1098" w:type="dxa"/>
            <w:vAlign w:val="center"/>
          </w:tcPr>
          <w:p w14:paraId="604D3BC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31</w:t>
            </w:r>
          </w:p>
        </w:tc>
        <w:tc>
          <w:tcPr>
            <w:tcW w:w="1039" w:type="dxa"/>
            <w:vAlign w:val="center"/>
          </w:tcPr>
          <w:p w14:paraId="4D917FE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15449E2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29</w:t>
            </w:r>
          </w:p>
        </w:tc>
        <w:tc>
          <w:tcPr>
            <w:tcW w:w="1084" w:type="dxa"/>
            <w:vAlign w:val="center"/>
          </w:tcPr>
          <w:p w14:paraId="49E84DB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r>
      <w:tr w14:paraId="3E118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798EA21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480" w:type="dxa"/>
            <w:vAlign w:val="center"/>
          </w:tcPr>
          <w:p w14:paraId="5FAE095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399" w:type="dxa"/>
            <w:vAlign w:val="center"/>
          </w:tcPr>
          <w:p w14:paraId="2205BA4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1098" w:type="dxa"/>
            <w:vAlign w:val="center"/>
          </w:tcPr>
          <w:p w14:paraId="0DB179A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39" w:type="dxa"/>
            <w:vAlign w:val="center"/>
          </w:tcPr>
          <w:p w14:paraId="35A9283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285EE0B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084" w:type="dxa"/>
            <w:vAlign w:val="center"/>
          </w:tcPr>
          <w:p w14:paraId="132E8C5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242B0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07689CE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480" w:type="dxa"/>
            <w:vAlign w:val="center"/>
          </w:tcPr>
          <w:p w14:paraId="6E25767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399" w:type="dxa"/>
            <w:vAlign w:val="center"/>
          </w:tcPr>
          <w:p w14:paraId="2F36C66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1098" w:type="dxa"/>
            <w:vAlign w:val="center"/>
          </w:tcPr>
          <w:p w14:paraId="1318E22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039" w:type="dxa"/>
            <w:vAlign w:val="center"/>
          </w:tcPr>
          <w:p w14:paraId="6593D28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6F2BA74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084" w:type="dxa"/>
            <w:vAlign w:val="center"/>
          </w:tcPr>
          <w:p w14:paraId="7C569F8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3FAA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538B64E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480" w:type="dxa"/>
            <w:vAlign w:val="center"/>
          </w:tcPr>
          <w:p w14:paraId="54DD524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399" w:type="dxa"/>
            <w:vAlign w:val="center"/>
          </w:tcPr>
          <w:p w14:paraId="1AA8373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1098" w:type="dxa"/>
            <w:vAlign w:val="center"/>
          </w:tcPr>
          <w:p w14:paraId="3D8EF77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39" w:type="dxa"/>
            <w:vAlign w:val="center"/>
          </w:tcPr>
          <w:p w14:paraId="3D811A0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432A7D8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84" w:type="dxa"/>
            <w:vAlign w:val="center"/>
          </w:tcPr>
          <w:p w14:paraId="54E9E83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03DC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6D9413D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480" w:type="dxa"/>
            <w:vAlign w:val="center"/>
          </w:tcPr>
          <w:p w14:paraId="515889D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399" w:type="dxa"/>
            <w:vAlign w:val="center"/>
          </w:tcPr>
          <w:p w14:paraId="714B8D0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1098" w:type="dxa"/>
            <w:vAlign w:val="center"/>
          </w:tcPr>
          <w:p w14:paraId="4BE7A7A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39" w:type="dxa"/>
            <w:vAlign w:val="center"/>
          </w:tcPr>
          <w:p w14:paraId="684A54B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16A78CF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84" w:type="dxa"/>
            <w:vAlign w:val="center"/>
          </w:tcPr>
          <w:p w14:paraId="2868698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A3257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133F3E9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480" w:type="dxa"/>
            <w:vAlign w:val="center"/>
          </w:tcPr>
          <w:p w14:paraId="2D66C38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399" w:type="dxa"/>
            <w:vAlign w:val="center"/>
          </w:tcPr>
          <w:p w14:paraId="2F9016F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1098" w:type="dxa"/>
            <w:vAlign w:val="center"/>
          </w:tcPr>
          <w:p w14:paraId="4E14BB7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39" w:type="dxa"/>
            <w:vAlign w:val="center"/>
          </w:tcPr>
          <w:p w14:paraId="3D705A7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665FA08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84" w:type="dxa"/>
            <w:vAlign w:val="center"/>
          </w:tcPr>
          <w:p w14:paraId="78E2438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278E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07CD9B5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480" w:type="dxa"/>
            <w:vAlign w:val="center"/>
          </w:tcPr>
          <w:p w14:paraId="26132A0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399" w:type="dxa"/>
            <w:vAlign w:val="center"/>
          </w:tcPr>
          <w:p w14:paraId="75F006B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1098" w:type="dxa"/>
            <w:vAlign w:val="center"/>
          </w:tcPr>
          <w:p w14:paraId="5E283D8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36</w:t>
            </w:r>
          </w:p>
        </w:tc>
        <w:tc>
          <w:tcPr>
            <w:tcW w:w="1039" w:type="dxa"/>
            <w:vAlign w:val="center"/>
          </w:tcPr>
          <w:p w14:paraId="61372E3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415B4C2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35</w:t>
            </w:r>
          </w:p>
        </w:tc>
        <w:tc>
          <w:tcPr>
            <w:tcW w:w="1084" w:type="dxa"/>
            <w:vAlign w:val="center"/>
          </w:tcPr>
          <w:p w14:paraId="64323C2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B5C9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3AA067C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480" w:type="dxa"/>
            <w:vAlign w:val="center"/>
          </w:tcPr>
          <w:p w14:paraId="24A3E4B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399" w:type="dxa"/>
            <w:vAlign w:val="center"/>
          </w:tcPr>
          <w:p w14:paraId="1BA4C7E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1098" w:type="dxa"/>
            <w:vAlign w:val="center"/>
          </w:tcPr>
          <w:p w14:paraId="64D8BAC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c>
          <w:tcPr>
            <w:tcW w:w="1039" w:type="dxa"/>
            <w:vAlign w:val="center"/>
          </w:tcPr>
          <w:p w14:paraId="4980D67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2346FC0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c>
          <w:tcPr>
            <w:tcW w:w="1084" w:type="dxa"/>
            <w:vAlign w:val="center"/>
          </w:tcPr>
          <w:p w14:paraId="49ACFB7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730D3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4ACA3EC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480" w:type="dxa"/>
            <w:vAlign w:val="center"/>
          </w:tcPr>
          <w:p w14:paraId="3E8E925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399" w:type="dxa"/>
            <w:vAlign w:val="center"/>
          </w:tcPr>
          <w:p w14:paraId="6997B9C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1098" w:type="dxa"/>
            <w:vAlign w:val="center"/>
          </w:tcPr>
          <w:p w14:paraId="000AED8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39" w:type="dxa"/>
            <w:vAlign w:val="center"/>
          </w:tcPr>
          <w:p w14:paraId="3B502F1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47A4AC9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84" w:type="dxa"/>
            <w:vAlign w:val="center"/>
          </w:tcPr>
          <w:p w14:paraId="397794E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C21E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4175337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480" w:type="dxa"/>
            <w:vAlign w:val="center"/>
          </w:tcPr>
          <w:p w14:paraId="71B8B56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399" w:type="dxa"/>
            <w:vAlign w:val="center"/>
          </w:tcPr>
          <w:p w14:paraId="02A8442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1098" w:type="dxa"/>
            <w:vAlign w:val="center"/>
          </w:tcPr>
          <w:p w14:paraId="0039EBD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44</w:t>
            </w:r>
          </w:p>
        </w:tc>
        <w:tc>
          <w:tcPr>
            <w:tcW w:w="1039" w:type="dxa"/>
            <w:vAlign w:val="center"/>
          </w:tcPr>
          <w:p w14:paraId="648356A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64394DB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44</w:t>
            </w:r>
          </w:p>
        </w:tc>
        <w:tc>
          <w:tcPr>
            <w:tcW w:w="1084" w:type="dxa"/>
            <w:vAlign w:val="center"/>
          </w:tcPr>
          <w:p w14:paraId="2B17015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96679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269CF7F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480" w:type="dxa"/>
            <w:vAlign w:val="center"/>
          </w:tcPr>
          <w:p w14:paraId="6D56FF0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399" w:type="dxa"/>
            <w:vAlign w:val="center"/>
          </w:tcPr>
          <w:p w14:paraId="4FB2D04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1098" w:type="dxa"/>
            <w:vAlign w:val="center"/>
          </w:tcPr>
          <w:p w14:paraId="7873CA6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51</w:t>
            </w:r>
          </w:p>
        </w:tc>
        <w:tc>
          <w:tcPr>
            <w:tcW w:w="1039" w:type="dxa"/>
            <w:vAlign w:val="center"/>
          </w:tcPr>
          <w:p w14:paraId="52DD046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5BA19CD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51</w:t>
            </w:r>
          </w:p>
        </w:tc>
        <w:tc>
          <w:tcPr>
            <w:tcW w:w="1084" w:type="dxa"/>
            <w:vAlign w:val="center"/>
          </w:tcPr>
          <w:p w14:paraId="103B70E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9DDA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7235A7A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480" w:type="dxa"/>
            <w:vAlign w:val="center"/>
          </w:tcPr>
          <w:p w14:paraId="7A45D74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399" w:type="dxa"/>
            <w:vAlign w:val="center"/>
          </w:tcPr>
          <w:p w14:paraId="2530B77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1098" w:type="dxa"/>
            <w:vAlign w:val="center"/>
          </w:tcPr>
          <w:p w14:paraId="5EF889B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76</w:t>
            </w:r>
          </w:p>
        </w:tc>
        <w:tc>
          <w:tcPr>
            <w:tcW w:w="1039" w:type="dxa"/>
            <w:vAlign w:val="center"/>
          </w:tcPr>
          <w:p w14:paraId="49D6A91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7F555E2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75</w:t>
            </w:r>
          </w:p>
        </w:tc>
        <w:tc>
          <w:tcPr>
            <w:tcW w:w="1084" w:type="dxa"/>
            <w:vAlign w:val="center"/>
          </w:tcPr>
          <w:p w14:paraId="5E60676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r>
      <w:tr w14:paraId="6EBEC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26908BE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480" w:type="dxa"/>
            <w:vAlign w:val="center"/>
          </w:tcPr>
          <w:p w14:paraId="44F6822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399" w:type="dxa"/>
            <w:vAlign w:val="center"/>
          </w:tcPr>
          <w:p w14:paraId="04B7AF0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1098" w:type="dxa"/>
            <w:vAlign w:val="center"/>
          </w:tcPr>
          <w:p w14:paraId="163FE58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39" w:type="dxa"/>
            <w:vAlign w:val="center"/>
          </w:tcPr>
          <w:p w14:paraId="443211E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3EFE137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84" w:type="dxa"/>
            <w:vAlign w:val="center"/>
          </w:tcPr>
          <w:p w14:paraId="00987F3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0562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04697C1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480" w:type="dxa"/>
            <w:vAlign w:val="center"/>
          </w:tcPr>
          <w:p w14:paraId="7E6A3F5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399" w:type="dxa"/>
            <w:vAlign w:val="center"/>
          </w:tcPr>
          <w:p w14:paraId="6B94269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1098" w:type="dxa"/>
            <w:vAlign w:val="center"/>
          </w:tcPr>
          <w:p w14:paraId="1D8B9D0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39" w:type="dxa"/>
            <w:vAlign w:val="center"/>
          </w:tcPr>
          <w:p w14:paraId="55EBFCF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02263B6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84" w:type="dxa"/>
            <w:vAlign w:val="center"/>
          </w:tcPr>
          <w:p w14:paraId="7D2FA39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AD946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793A9F1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480" w:type="dxa"/>
            <w:vAlign w:val="center"/>
          </w:tcPr>
          <w:p w14:paraId="434BF0F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399" w:type="dxa"/>
            <w:vAlign w:val="center"/>
          </w:tcPr>
          <w:p w14:paraId="60D0DD4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1098" w:type="dxa"/>
            <w:vAlign w:val="center"/>
          </w:tcPr>
          <w:p w14:paraId="7774132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39" w:type="dxa"/>
            <w:vAlign w:val="center"/>
          </w:tcPr>
          <w:p w14:paraId="59A4DEF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240" w:type="dxa"/>
            <w:vAlign w:val="center"/>
          </w:tcPr>
          <w:p w14:paraId="69589CB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84" w:type="dxa"/>
            <w:vAlign w:val="center"/>
          </w:tcPr>
          <w:p w14:paraId="0C0D014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549FE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6DC7A8E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480" w:type="dxa"/>
            <w:vAlign w:val="center"/>
          </w:tcPr>
          <w:p w14:paraId="577FDDD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399" w:type="dxa"/>
            <w:vAlign w:val="center"/>
          </w:tcPr>
          <w:p w14:paraId="75C5E2B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1098" w:type="dxa"/>
            <w:vAlign w:val="center"/>
          </w:tcPr>
          <w:p w14:paraId="2FB0DAB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39" w:type="dxa"/>
            <w:vAlign w:val="center"/>
          </w:tcPr>
          <w:p w14:paraId="6D4588C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40" w:type="dxa"/>
            <w:vAlign w:val="center"/>
          </w:tcPr>
          <w:p w14:paraId="21E5BA4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084" w:type="dxa"/>
            <w:vAlign w:val="center"/>
          </w:tcPr>
          <w:p w14:paraId="0062585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B6DF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55A1712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480" w:type="dxa"/>
            <w:vAlign w:val="center"/>
          </w:tcPr>
          <w:p w14:paraId="37EA2A1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399" w:type="dxa"/>
            <w:vAlign w:val="center"/>
          </w:tcPr>
          <w:p w14:paraId="2D0CA89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1098" w:type="dxa"/>
            <w:vAlign w:val="center"/>
          </w:tcPr>
          <w:p w14:paraId="7222748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039" w:type="dxa"/>
            <w:vAlign w:val="center"/>
          </w:tcPr>
          <w:p w14:paraId="6F07ED5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3565655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084" w:type="dxa"/>
            <w:vAlign w:val="center"/>
          </w:tcPr>
          <w:p w14:paraId="46F3B35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5C64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1BE82A9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480" w:type="dxa"/>
            <w:vAlign w:val="center"/>
          </w:tcPr>
          <w:p w14:paraId="7847C1B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399" w:type="dxa"/>
            <w:vAlign w:val="center"/>
          </w:tcPr>
          <w:p w14:paraId="0A64500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1098" w:type="dxa"/>
            <w:vAlign w:val="center"/>
          </w:tcPr>
          <w:p w14:paraId="073736D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39" w:type="dxa"/>
            <w:vAlign w:val="center"/>
          </w:tcPr>
          <w:p w14:paraId="02EB4AF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52C7EFC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84" w:type="dxa"/>
            <w:vAlign w:val="center"/>
          </w:tcPr>
          <w:p w14:paraId="5123948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14E7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4C93057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480" w:type="dxa"/>
            <w:vAlign w:val="center"/>
          </w:tcPr>
          <w:p w14:paraId="1F2F18F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399" w:type="dxa"/>
            <w:vAlign w:val="center"/>
          </w:tcPr>
          <w:p w14:paraId="030BE71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1098" w:type="dxa"/>
            <w:vAlign w:val="center"/>
          </w:tcPr>
          <w:p w14:paraId="298A301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039" w:type="dxa"/>
            <w:vAlign w:val="center"/>
          </w:tcPr>
          <w:p w14:paraId="6F5BF2D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4C19AA4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084" w:type="dxa"/>
            <w:vAlign w:val="center"/>
          </w:tcPr>
          <w:p w14:paraId="3139849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062FD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44" w:type="dxa"/>
            <w:vAlign w:val="center"/>
          </w:tcPr>
          <w:p w14:paraId="6C13599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480" w:type="dxa"/>
            <w:vAlign w:val="center"/>
          </w:tcPr>
          <w:p w14:paraId="766E8C5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399" w:type="dxa"/>
            <w:vAlign w:val="center"/>
          </w:tcPr>
          <w:p w14:paraId="535FC49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1098" w:type="dxa"/>
            <w:vAlign w:val="center"/>
          </w:tcPr>
          <w:p w14:paraId="6ABC8E4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39" w:type="dxa"/>
            <w:vAlign w:val="center"/>
          </w:tcPr>
          <w:p w14:paraId="1AE594D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40" w:type="dxa"/>
            <w:vAlign w:val="center"/>
          </w:tcPr>
          <w:p w14:paraId="78B952B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084" w:type="dxa"/>
            <w:vAlign w:val="center"/>
          </w:tcPr>
          <w:p w14:paraId="0278145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bl>
    <w:p w14:paraId="7EF374AE">
      <w:pPr>
        <w:rPr>
          <w:rFonts w:hint="eastAsia"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br w:type="page"/>
      </w:r>
    </w:p>
    <w:p w14:paraId="415AAEB1">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附表4</w:t>
      </w:r>
    </w:p>
    <w:p w14:paraId="002A5529">
      <w:pPr>
        <w:spacing w:before="45" w:line="226" w:lineRule="auto"/>
        <w:jc w:val="center"/>
        <w:outlineLvl w:val="0"/>
        <w:rPr>
          <w:rFonts w:ascii="宋体" w:hAnsi="宋体" w:eastAsia="宋体" w:cs="宋体"/>
          <w:b/>
          <w:bCs/>
          <w:spacing w:val="-5"/>
          <w:sz w:val="28"/>
          <w:szCs w:val="28"/>
          <w:highlight w:val="none"/>
          <w:lang w:eastAsia="zh-CN"/>
        </w:rPr>
      </w:pPr>
      <w:bookmarkStart w:id="94" w:name="_Toc18718"/>
      <w:bookmarkStart w:id="95" w:name="_Toc27996"/>
      <w:r>
        <w:rPr>
          <w:rFonts w:hint="eastAsia" w:ascii="宋体" w:hAnsi="宋体" w:eastAsia="宋体" w:cs="宋体"/>
          <w:b/>
          <w:bCs/>
          <w:spacing w:val="9"/>
          <w:sz w:val="28"/>
          <w:szCs w:val="28"/>
          <w:highlight w:val="none"/>
          <w:lang w:eastAsia="zh-CN"/>
        </w:rPr>
        <w:t>各专业教师年龄结构一览表</w:t>
      </w:r>
      <w:bookmarkEnd w:id="94"/>
      <w:bookmarkEnd w:id="95"/>
    </w:p>
    <w:tbl>
      <w:tblPr>
        <w:tblStyle w:val="24"/>
        <w:tblpPr w:leftFromText="180" w:rightFromText="180" w:vertAnchor="text" w:horzAnchor="page" w:tblpX="1383" w:tblpY="76"/>
        <w:tblOverlap w:val="never"/>
        <w:tblW w:w="94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1185"/>
        <w:gridCol w:w="2355"/>
        <w:gridCol w:w="750"/>
        <w:gridCol w:w="1304"/>
        <w:gridCol w:w="1020"/>
        <w:gridCol w:w="1020"/>
        <w:gridCol w:w="1215"/>
      </w:tblGrid>
      <w:tr w14:paraId="17F79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jc w:val="center"/>
        </w:trPr>
        <w:tc>
          <w:tcPr>
            <w:tcW w:w="627" w:type="dxa"/>
            <w:vAlign w:val="center"/>
          </w:tcPr>
          <w:p w14:paraId="402CDC4A">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序号</w:t>
            </w:r>
          </w:p>
        </w:tc>
        <w:tc>
          <w:tcPr>
            <w:tcW w:w="1185" w:type="dxa"/>
            <w:vAlign w:val="center"/>
          </w:tcPr>
          <w:p w14:paraId="77062C58">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2"/>
                <w:sz w:val="22"/>
                <w:szCs w:val="22"/>
                <w:highlight w:val="none"/>
              </w:rPr>
              <w:t>专业代码</w:t>
            </w:r>
          </w:p>
        </w:tc>
        <w:tc>
          <w:tcPr>
            <w:tcW w:w="2355" w:type="dxa"/>
            <w:vAlign w:val="center"/>
          </w:tcPr>
          <w:p w14:paraId="6BD6A7A8">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专业名称</w:t>
            </w:r>
          </w:p>
        </w:tc>
        <w:tc>
          <w:tcPr>
            <w:tcW w:w="750" w:type="dxa"/>
            <w:vAlign w:val="center"/>
          </w:tcPr>
          <w:p w14:paraId="7C846483">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1"/>
                <w:sz w:val="22"/>
                <w:szCs w:val="22"/>
                <w:highlight w:val="none"/>
              </w:rPr>
              <w:t>总数</w:t>
            </w:r>
          </w:p>
        </w:tc>
        <w:tc>
          <w:tcPr>
            <w:tcW w:w="1304" w:type="dxa"/>
            <w:vAlign w:val="center"/>
          </w:tcPr>
          <w:p w14:paraId="7EF243ED">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4"/>
                <w:sz w:val="22"/>
                <w:szCs w:val="22"/>
                <w:highlight w:val="none"/>
              </w:rPr>
              <w:t>35岁及以下</w:t>
            </w:r>
          </w:p>
        </w:tc>
        <w:tc>
          <w:tcPr>
            <w:tcW w:w="1020" w:type="dxa"/>
            <w:vAlign w:val="center"/>
          </w:tcPr>
          <w:p w14:paraId="5AA7669E">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3"/>
                <w:sz w:val="22"/>
                <w:szCs w:val="22"/>
                <w:highlight w:val="none"/>
              </w:rPr>
              <w:t>36-45岁</w:t>
            </w:r>
          </w:p>
        </w:tc>
        <w:tc>
          <w:tcPr>
            <w:tcW w:w="1020" w:type="dxa"/>
            <w:vAlign w:val="center"/>
          </w:tcPr>
          <w:p w14:paraId="52236AAE">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2"/>
                <w:sz w:val="22"/>
                <w:szCs w:val="22"/>
                <w:highlight w:val="none"/>
              </w:rPr>
              <w:t>46-55岁</w:t>
            </w:r>
          </w:p>
        </w:tc>
        <w:tc>
          <w:tcPr>
            <w:tcW w:w="1215" w:type="dxa"/>
            <w:vAlign w:val="center"/>
          </w:tcPr>
          <w:p w14:paraId="47AC26EE">
            <w:pPr>
              <w:spacing w:line="240" w:lineRule="exact"/>
              <w:jc w:val="center"/>
              <w:rPr>
                <w:rFonts w:ascii="微软雅黑" w:hAnsi="微软雅黑" w:eastAsia="微软雅黑" w:cs="微软雅黑"/>
                <w:sz w:val="22"/>
                <w:szCs w:val="22"/>
                <w:highlight w:val="none"/>
              </w:rPr>
            </w:pPr>
            <w:r>
              <w:rPr>
                <w:rFonts w:ascii="微软雅黑" w:hAnsi="微软雅黑" w:eastAsia="微软雅黑" w:cs="微软雅黑"/>
                <w:b/>
                <w:bCs/>
                <w:spacing w:val="-4"/>
                <w:sz w:val="22"/>
                <w:szCs w:val="22"/>
                <w:highlight w:val="none"/>
              </w:rPr>
              <w:t>56</w:t>
            </w:r>
            <w:r>
              <w:rPr>
                <w:rFonts w:hint="eastAsia" w:ascii="微软雅黑" w:hAnsi="微软雅黑" w:eastAsia="微软雅黑" w:cs="微软雅黑"/>
                <w:b/>
                <w:bCs/>
                <w:spacing w:val="-4"/>
                <w:sz w:val="22"/>
                <w:szCs w:val="22"/>
                <w:highlight w:val="none"/>
                <w:lang w:val="en-US" w:eastAsia="zh-CN"/>
              </w:rPr>
              <w:t>岁</w:t>
            </w:r>
            <w:r>
              <w:rPr>
                <w:rFonts w:ascii="微软雅黑" w:hAnsi="微软雅黑" w:eastAsia="微软雅黑" w:cs="微软雅黑"/>
                <w:b/>
                <w:bCs/>
                <w:spacing w:val="-4"/>
                <w:sz w:val="22"/>
                <w:szCs w:val="22"/>
                <w:highlight w:val="none"/>
              </w:rPr>
              <w:t>及以上</w:t>
            </w:r>
          </w:p>
        </w:tc>
      </w:tr>
      <w:tr w14:paraId="6DD10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jc w:val="center"/>
        </w:trPr>
        <w:tc>
          <w:tcPr>
            <w:tcW w:w="627" w:type="dxa"/>
            <w:vAlign w:val="center"/>
          </w:tcPr>
          <w:p w14:paraId="4940BAF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185" w:type="dxa"/>
            <w:vAlign w:val="center"/>
          </w:tcPr>
          <w:p w14:paraId="40A2CB3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355" w:type="dxa"/>
            <w:vAlign w:val="center"/>
          </w:tcPr>
          <w:p w14:paraId="0809319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750" w:type="dxa"/>
            <w:vAlign w:val="center"/>
          </w:tcPr>
          <w:p w14:paraId="713210D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42</w:t>
            </w:r>
          </w:p>
        </w:tc>
        <w:tc>
          <w:tcPr>
            <w:tcW w:w="1304" w:type="dxa"/>
            <w:vAlign w:val="center"/>
          </w:tcPr>
          <w:p w14:paraId="0A539A4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40</w:t>
            </w:r>
          </w:p>
        </w:tc>
        <w:tc>
          <w:tcPr>
            <w:tcW w:w="1020" w:type="dxa"/>
            <w:vAlign w:val="center"/>
          </w:tcPr>
          <w:p w14:paraId="769F601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20" w:type="dxa"/>
            <w:vAlign w:val="center"/>
          </w:tcPr>
          <w:p w14:paraId="0E5A5D8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09B8493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0AA4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jc w:val="center"/>
        </w:trPr>
        <w:tc>
          <w:tcPr>
            <w:tcW w:w="627" w:type="dxa"/>
            <w:vAlign w:val="center"/>
          </w:tcPr>
          <w:p w14:paraId="62B342F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185" w:type="dxa"/>
            <w:vAlign w:val="center"/>
          </w:tcPr>
          <w:p w14:paraId="5E98B53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355" w:type="dxa"/>
            <w:vAlign w:val="center"/>
          </w:tcPr>
          <w:p w14:paraId="5DAD105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750" w:type="dxa"/>
            <w:vAlign w:val="center"/>
          </w:tcPr>
          <w:p w14:paraId="4742C52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304" w:type="dxa"/>
            <w:vAlign w:val="center"/>
          </w:tcPr>
          <w:p w14:paraId="3B45240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020" w:type="dxa"/>
            <w:vAlign w:val="center"/>
          </w:tcPr>
          <w:p w14:paraId="7DA3791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020" w:type="dxa"/>
            <w:vAlign w:val="center"/>
          </w:tcPr>
          <w:p w14:paraId="74A3A7E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0664A05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1A2B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627" w:type="dxa"/>
            <w:vAlign w:val="center"/>
          </w:tcPr>
          <w:p w14:paraId="4F5B154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185" w:type="dxa"/>
            <w:vAlign w:val="center"/>
          </w:tcPr>
          <w:p w14:paraId="57E62BA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355" w:type="dxa"/>
            <w:vAlign w:val="center"/>
          </w:tcPr>
          <w:p w14:paraId="0A9DC2B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750" w:type="dxa"/>
            <w:vAlign w:val="center"/>
          </w:tcPr>
          <w:p w14:paraId="046D577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304" w:type="dxa"/>
            <w:vAlign w:val="center"/>
          </w:tcPr>
          <w:p w14:paraId="0F0F219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020" w:type="dxa"/>
            <w:vAlign w:val="center"/>
          </w:tcPr>
          <w:p w14:paraId="1F02CFA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020" w:type="dxa"/>
            <w:vAlign w:val="center"/>
          </w:tcPr>
          <w:p w14:paraId="5AB8D26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15" w:type="dxa"/>
            <w:vAlign w:val="center"/>
          </w:tcPr>
          <w:p w14:paraId="527BC5F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0C9A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627" w:type="dxa"/>
            <w:vAlign w:val="center"/>
          </w:tcPr>
          <w:p w14:paraId="338BE75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185" w:type="dxa"/>
            <w:vAlign w:val="center"/>
          </w:tcPr>
          <w:p w14:paraId="67EB58B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355" w:type="dxa"/>
            <w:vAlign w:val="center"/>
          </w:tcPr>
          <w:p w14:paraId="1E18CCA9">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750" w:type="dxa"/>
            <w:vAlign w:val="center"/>
          </w:tcPr>
          <w:p w14:paraId="0A0ABA5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04" w:type="dxa"/>
            <w:vAlign w:val="center"/>
          </w:tcPr>
          <w:p w14:paraId="5585548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020" w:type="dxa"/>
            <w:vAlign w:val="center"/>
          </w:tcPr>
          <w:p w14:paraId="0CE12B6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020" w:type="dxa"/>
            <w:vAlign w:val="center"/>
          </w:tcPr>
          <w:p w14:paraId="1D9EB67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15" w:type="dxa"/>
            <w:vAlign w:val="center"/>
          </w:tcPr>
          <w:p w14:paraId="4A1E044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7071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627" w:type="dxa"/>
            <w:vAlign w:val="center"/>
          </w:tcPr>
          <w:p w14:paraId="65C7ACD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185" w:type="dxa"/>
            <w:vAlign w:val="center"/>
          </w:tcPr>
          <w:p w14:paraId="2A25B6E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355" w:type="dxa"/>
            <w:vAlign w:val="center"/>
          </w:tcPr>
          <w:p w14:paraId="689E7A6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750" w:type="dxa"/>
            <w:vAlign w:val="center"/>
          </w:tcPr>
          <w:p w14:paraId="3A1E956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04" w:type="dxa"/>
            <w:vAlign w:val="center"/>
          </w:tcPr>
          <w:p w14:paraId="7516EB9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20" w:type="dxa"/>
            <w:vAlign w:val="center"/>
          </w:tcPr>
          <w:p w14:paraId="39928EF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020" w:type="dxa"/>
            <w:vAlign w:val="center"/>
          </w:tcPr>
          <w:p w14:paraId="19E0B4B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627A656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52E3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jc w:val="center"/>
        </w:trPr>
        <w:tc>
          <w:tcPr>
            <w:tcW w:w="627" w:type="dxa"/>
            <w:vAlign w:val="center"/>
          </w:tcPr>
          <w:p w14:paraId="14210E6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185" w:type="dxa"/>
            <w:vAlign w:val="center"/>
          </w:tcPr>
          <w:p w14:paraId="24EFD35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355" w:type="dxa"/>
            <w:vAlign w:val="center"/>
          </w:tcPr>
          <w:p w14:paraId="70B2393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750" w:type="dxa"/>
            <w:vAlign w:val="center"/>
          </w:tcPr>
          <w:p w14:paraId="3B7A3C2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31</w:t>
            </w:r>
          </w:p>
        </w:tc>
        <w:tc>
          <w:tcPr>
            <w:tcW w:w="1304" w:type="dxa"/>
            <w:vAlign w:val="center"/>
          </w:tcPr>
          <w:p w14:paraId="31C21D7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020" w:type="dxa"/>
            <w:vAlign w:val="center"/>
          </w:tcPr>
          <w:p w14:paraId="0449B01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020" w:type="dxa"/>
            <w:vAlign w:val="center"/>
          </w:tcPr>
          <w:p w14:paraId="58CBEC5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215" w:type="dxa"/>
            <w:vAlign w:val="center"/>
          </w:tcPr>
          <w:p w14:paraId="09E29F2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96BD3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627" w:type="dxa"/>
            <w:vAlign w:val="center"/>
          </w:tcPr>
          <w:p w14:paraId="7AE2D1D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185" w:type="dxa"/>
            <w:vAlign w:val="center"/>
          </w:tcPr>
          <w:p w14:paraId="11E34CD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355" w:type="dxa"/>
            <w:vAlign w:val="center"/>
          </w:tcPr>
          <w:p w14:paraId="53A7117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750" w:type="dxa"/>
            <w:vAlign w:val="center"/>
          </w:tcPr>
          <w:p w14:paraId="7326A9E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304" w:type="dxa"/>
            <w:vAlign w:val="center"/>
          </w:tcPr>
          <w:p w14:paraId="78AB92E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020" w:type="dxa"/>
            <w:vAlign w:val="center"/>
          </w:tcPr>
          <w:p w14:paraId="6C4E0AA7">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20" w:type="dxa"/>
            <w:vAlign w:val="center"/>
          </w:tcPr>
          <w:p w14:paraId="13B6997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215" w:type="dxa"/>
            <w:vAlign w:val="center"/>
          </w:tcPr>
          <w:p w14:paraId="2DDABBB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8FD3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jc w:val="center"/>
        </w:trPr>
        <w:tc>
          <w:tcPr>
            <w:tcW w:w="627" w:type="dxa"/>
            <w:vAlign w:val="center"/>
          </w:tcPr>
          <w:p w14:paraId="21D1576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185" w:type="dxa"/>
            <w:vAlign w:val="center"/>
          </w:tcPr>
          <w:p w14:paraId="10AA49F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355" w:type="dxa"/>
            <w:vAlign w:val="center"/>
          </w:tcPr>
          <w:p w14:paraId="638DA0F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750" w:type="dxa"/>
            <w:vAlign w:val="center"/>
          </w:tcPr>
          <w:p w14:paraId="6E07458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304" w:type="dxa"/>
            <w:vAlign w:val="center"/>
          </w:tcPr>
          <w:p w14:paraId="4701C82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20" w:type="dxa"/>
            <w:vAlign w:val="center"/>
          </w:tcPr>
          <w:p w14:paraId="4E80D2E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020" w:type="dxa"/>
            <w:vAlign w:val="center"/>
          </w:tcPr>
          <w:p w14:paraId="1D247AC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232925C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3008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jc w:val="center"/>
        </w:trPr>
        <w:tc>
          <w:tcPr>
            <w:tcW w:w="627" w:type="dxa"/>
            <w:vAlign w:val="center"/>
          </w:tcPr>
          <w:p w14:paraId="5762985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185" w:type="dxa"/>
            <w:vAlign w:val="center"/>
          </w:tcPr>
          <w:p w14:paraId="70DB742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355" w:type="dxa"/>
            <w:vAlign w:val="center"/>
          </w:tcPr>
          <w:p w14:paraId="2FB8CBE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750" w:type="dxa"/>
            <w:vAlign w:val="center"/>
          </w:tcPr>
          <w:p w14:paraId="536C594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04" w:type="dxa"/>
            <w:vAlign w:val="center"/>
          </w:tcPr>
          <w:p w14:paraId="3EE5B58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020" w:type="dxa"/>
            <w:vAlign w:val="center"/>
          </w:tcPr>
          <w:p w14:paraId="2D7154A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020" w:type="dxa"/>
            <w:vAlign w:val="center"/>
          </w:tcPr>
          <w:p w14:paraId="6C001A7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15" w:type="dxa"/>
            <w:vAlign w:val="center"/>
          </w:tcPr>
          <w:p w14:paraId="341205B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8639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jc w:val="center"/>
        </w:trPr>
        <w:tc>
          <w:tcPr>
            <w:tcW w:w="627" w:type="dxa"/>
            <w:vAlign w:val="center"/>
          </w:tcPr>
          <w:p w14:paraId="74E650D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185" w:type="dxa"/>
            <w:vAlign w:val="center"/>
          </w:tcPr>
          <w:p w14:paraId="1D31C0C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355" w:type="dxa"/>
            <w:vAlign w:val="center"/>
          </w:tcPr>
          <w:p w14:paraId="45FD188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750" w:type="dxa"/>
            <w:vAlign w:val="center"/>
          </w:tcPr>
          <w:p w14:paraId="09ECB7F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04" w:type="dxa"/>
            <w:vAlign w:val="center"/>
          </w:tcPr>
          <w:p w14:paraId="695A784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020" w:type="dxa"/>
            <w:vAlign w:val="center"/>
          </w:tcPr>
          <w:p w14:paraId="0520E86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020" w:type="dxa"/>
            <w:vAlign w:val="center"/>
          </w:tcPr>
          <w:p w14:paraId="3BDC702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2BA0835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5C2FA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6F35E75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185" w:type="dxa"/>
            <w:vAlign w:val="center"/>
          </w:tcPr>
          <w:p w14:paraId="65FB241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355" w:type="dxa"/>
            <w:vAlign w:val="center"/>
          </w:tcPr>
          <w:p w14:paraId="50BDC5D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750" w:type="dxa"/>
            <w:vAlign w:val="center"/>
          </w:tcPr>
          <w:p w14:paraId="4088865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04" w:type="dxa"/>
            <w:vAlign w:val="center"/>
          </w:tcPr>
          <w:p w14:paraId="4891254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020" w:type="dxa"/>
            <w:vAlign w:val="center"/>
          </w:tcPr>
          <w:p w14:paraId="620AD72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020" w:type="dxa"/>
            <w:vAlign w:val="center"/>
          </w:tcPr>
          <w:p w14:paraId="0F14F39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130123F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D5A0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627" w:type="dxa"/>
            <w:vAlign w:val="center"/>
          </w:tcPr>
          <w:p w14:paraId="0D308B5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185" w:type="dxa"/>
            <w:vAlign w:val="center"/>
          </w:tcPr>
          <w:p w14:paraId="11DC658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355" w:type="dxa"/>
            <w:vAlign w:val="center"/>
          </w:tcPr>
          <w:p w14:paraId="24A29C0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750" w:type="dxa"/>
            <w:vAlign w:val="center"/>
          </w:tcPr>
          <w:p w14:paraId="242E27D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36</w:t>
            </w:r>
          </w:p>
        </w:tc>
        <w:tc>
          <w:tcPr>
            <w:tcW w:w="1304" w:type="dxa"/>
            <w:vAlign w:val="center"/>
          </w:tcPr>
          <w:p w14:paraId="0B84FFE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33</w:t>
            </w:r>
          </w:p>
        </w:tc>
        <w:tc>
          <w:tcPr>
            <w:tcW w:w="1020" w:type="dxa"/>
            <w:vAlign w:val="center"/>
          </w:tcPr>
          <w:p w14:paraId="58DE763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020" w:type="dxa"/>
            <w:vAlign w:val="center"/>
          </w:tcPr>
          <w:p w14:paraId="41F5C30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3D788F9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FFA1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0450972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185" w:type="dxa"/>
            <w:vAlign w:val="center"/>
          </w:tcPr>
          <w:p w14:paraId="0B00B0D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355" w:type="dxa"/>
            <w:vAlign w:val="center"/>
          </w:tcPr>
          <w:p w14:paraId="2DDE68C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750" w:type="dxa"/>
            <w:vAlign w:val="center"/>
          </w:tcPr>
          <w:p w14:paraId="3588563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41</w:t>
            </w:r>
          </w:p>
        </w:tc>
        <w:tc>
          <w:tcPr>
            <w:tcW w:w="1304" w:type="dxa"/>
            <w:vAlign w:val="center"/>
          </w:tcPr>
          <w:p w14:paraId="0F5A9E1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38</w:t>
            </w:r>
          </w:p>
        </w:tc>
        <w:tc>
          <w:tcPr>
            <w:tcW w:w="1020" w:type="dxa"/>
            <w:vAlign w:val="center"/>
          </w:tcPr>
          <w:p w14:paraId="70AE948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20" w:type="dxa"/>
            <w:vAlign w:val="center"/>
          </w:tcPr>
          <w:p w14:paraId="49A4202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215" w:type="dxa"/>
            <w:vAlign w:val="center"/>
          </w:tcPr>
          <w:p w14:paraId="55879B1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065A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627" w:type="dxa"/>
            <w:vAlign w:val="center"/>
          </w:tcPr>
          <w:p w14:paraId="237CD71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185" w:type="dxa"/>
            <w:vAlign w:val="center"/>
          </w:tcPr>
          <w:p w14:paraId="0453A0F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355" w:type="dxa"/>
            <w:vAlign w:val="center"/>
          </w:tcPr>
          <w:p w14:paraId="7464D70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750" w:type="dxa"/>
            <w:vAlign w:val="center"/>
          </w:tcPr>
          <w:p w14:paraId="3BEFB0D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304" w:type="dxa"/>
            <w:vAlign w:val="center"/>
          </w:tcPr>
          <w:p w14:paraId="0840ECA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020" w:type="dxa"/>
            <w:vAlign w:val="center"/>
          </w:tcPr>
          <w:p w14:paraId="7535C6B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020" w:type="dxa"/>
            <w:vAlign w:val="center"/>
          </w:tcPr>
          <w:p w14:paraId="31D0BE1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5A89AF0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964A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5DFEFF3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185" w:type="dxa"/>
            <w:vAlign w:val="center"/>
          </w:tcPr>
          <w:p w14:paraId="271FCA0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355" w:type="dxa"/>
            <w:vAlign w:val="center"/>
          </w:tcPr>
          <w:p w14:paraId="3C88754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750" w:type="dxa"/>
            <w:vAlign w:val="center"/>
          </w:tcPr>
          <w:p w14:paraId="59B3515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44</w:t>
            </w:r>
          </w:p>
        </w:tc>
        <w:tc>
          <w:tcPr>
            <w:tcW w:w="1304" w:type="dxa"/>
            <w:vAlign w:val="center"/>
          </w:tcPr>
          <w:p w14:paraId="7748CCC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42</w:t>
            </w:r>
          </w:p>
        </w:tc>
        <w:tc>
          <w:tcPr>
            <w:tcW w:w="1020" w:type="dxa"/>
            <w:vAlign w:val="center"/>
          </w:tcPr>
          <w:p w14:paraId="670079F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20" w:type="dxa"/>
            <w:vAlign w:val="center"/>
          </w:tcPr>
          <w:p w14:paraId="4DE4A5D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0DFF8C4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345E1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627" w:type="dxa"/>
            <w:vAlign w:val="center"/>
          </w:tcPr>
          <w:p w14:paraId="1E32839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185" w:type="dxa"/>
            <w:vAlign w:val="center"/>
          </w:tcPr>
          <w:p w14:paraId="7D55F4B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355" w:type="dxa"/>
            <w:vAlign w:val="center"/>
          </w:tcPr>
          <w:p w14:paraId="5F5C89A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750" w:type="dxa"/>
            <w:vAlign w:val="center"/>
          </w:tcPr>
          <w:p w14:paraId="0F14A93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51</w:t>
            </w:r>
          </w:p>
        </w:tc>
        <w:tc>
          <w:tcPr>
            <w:tcW w:w="1304" w:type="dxa"/>
            <w:vAlign w:val="center"/>
          </w:tcPr>
          <w:p w14:paraId="74B2995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50</w:t>
            </w:r>
          </w:p>
        </w:tc>
        <w:tc>
          <w:tcPr>
            <w:tcW w:w="1020" w:type="dxa"/>
            <w:vAlign w:val="center"/>
          </w:tcPr>
          <w:p w14:paraId="0BF36B3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020" w:type="dxa"/>
            <w:vAlign w:val="center"/>
          </w:tcPr>
          <w:p w14:paraId="0D7FC9E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1216C41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2B2F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40320C8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185" w:type="dxa"/>
            <w:vAlign w:val="center"/>
          </w:tcPr>
          <w:p w14:paraId="1C63CC9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355" w:type="dxa"/>
            <w:vAlign w:val="center"/>
          </w:tcPr>
          <w:p w14:paraId="76C5A56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750" w:type="dxa"/>
            <w:vAlign w:val="center"/>
          </w:tcPr>
          <w:p w14:paraId="5548516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76</w:t>
            </w:r>
          </w:p>
        </w:tc>
        <w:tc>
          <w:tcPr>
            <w:tcW w:w="1304" w:type="dxa"/>
            <w:vAlign w:val="center"/>
          </w:tcPr>
          <w:p w14:paraId="2F73D30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68</w:t>
            </w:r>
          </w:p>
        </w:tc>
        <w:tc>
          <w:tcPr>
            <w:tcW w:w="1020" w:type="dxa"/>
            <w:vAlign w:val="center"/>
          </w:tcPr>
          <w:p w14:paraId="3F8ACC6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020" w:type="dxa"/>
            <w:vAlign w:val="center"/>
          </w:tcPr>
          <w:p w14:paraId="1F27338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4822BC0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0964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627" w:type="dxa"/>
            <w:vAlign w:val="center"/>
          </w:tcPr>
          <w:p w14:paraId="16F8C45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185" w:type="dxa"/>
            <w:vAlign w:val="center"/>
          </w:tcPr>
          <w:p w14:paraId="7806351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355" w:type="dxa"/>
            <w:vAlign w:val="center"/>
          </w:tcPr>
          <w:p w14:paraId="4E46EB42">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750" w:type="dxa"/>
            <w:vAlign w:val="center"/>
          </w:tcPr>
          <w:p w14:paraId="77C5E9DC">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04" w:type="dxa"/>
            <w:vAlign w:val="center"/>
          </w:tcPr>
          <w:p w14:paraId="1FF5A5A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020" w:type="dxa"/>
            <w:vAlign w:val="center"/>
          </w:tcPr>
          <w:p w14:paraId="6D599E5D">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020" w:type="dxa"/>
            <w:vAlign w:val="center"/>
          </w:tcPr>
          <w:p w14:paraId="736FEA9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29DC9F5F">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B112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0A34C64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185" w:type="dxa"/>
            <w:vAlign w:val="center"/>
          </w:tcPr>
          <w:p w14:paraId="5E7ADBF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355" w:type="dxa"/>
            <w:vAlign w:val="center"/>
          </w:tcPr>
          <w:p w14:paraId="58CB649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750" w:type="dxa"/>
            <w:vAlign w:val="center"/>
          </w:tcPr>
          <w:p w14:paraId="497F2D9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04" w:type="dxa"/>
            <w:vAlign w:val="center"/>
          </w:tcPr>
          <w:p w14:paraId="1610E426">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020" w:type="dxa"/>
            <w:vAlign w:val="center"/>
          </w:tcPr>
          <w:p w14:paraId="1FDEAA5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020" w:type="dxa"/>
            <w:vAlign w:val="center"/>
          </w:tcPr>
          <w:p w14:paraId="1045782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3E513F9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AEC0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627" w:type="dxa"/>
            <w:vAlign w:val="center"/>
          </w:tcPr>
          <w:p w14:paraId="12E70888">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185" w:type="dxa"/>
            <w:vAlign w:val="center"/>
          </w:tcPr>
          <w:p w14:paraId="02A4E1B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355" w:type="dxa"/>
            <w:vAlign w:val="center"/>
          </w:tcPr>
          <w:p w14:paraId="143C6A4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750" w:type="dxa"/>
            <w:vAlign w:val="center"/>
          </w:tcPr>
          <w:p w14:paraId="16ED80C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04" w:type="dxa"/>
            <w:vAlign w:val="center"/>
          </w:tcPr>
          <w:p w14:paraId="5FE002A4">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020" w:type="dxa"/>
            <w:vAlign w:val="center"/>
          </w:tcPr>
          <w:p w14:paraId="6C419FF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020" w:type="dxa"/>
            <w:vAlign w:val="center"/>
          </w:tcPr>
          <w:p w14:paraId="2CBFF41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215" w:type="dxa"/>
            <w:vAlign w:val="center"/>
          </w:tcPr>
          <w:p w14:paraId="685AC3A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D4982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58A3BDB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185" w:type="dxa"/>
            <w:vAlign w:val="center"/>
          </w:tcPr>
          <w:p w14:paraId="3D91F3F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355" w:type="dxa"/>
            <w:vAlign w:val="center"/>
          </w:tcPr>
          <w:p w14:paraId="6CC6DDC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750" w:type="dxa"/>
            <w:vAlign w:val="center"/>
          </w:tcPr>
          <w:p w14:paraId="077DE0F1">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304" w:type="dxa"/>
            <w:vAlign w:val="center"/>
          </w:tcPr>
          <w:p w14:paraId="0150C5C3">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20" w:type="dxa"/>
            <w:vAlign w:val="center"/>
          </w:tcPr>
          <w:p w14:paraId="16540FA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020" w:type="dxa"/>
            <w:vAlign w:val="center"/>
          </w:tcPr>
          <w:p w14:paraId="1389E5A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4286D8E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F39C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627" w:type="dxa"/>
            <w:vAlign w:val="center"/>
          </w:tcPr>
          <w:p w14:paraId="03110424">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185" w:type="dxa"/>
            <w:vAlign w:val="center"/>
          </w:tcPr>
          <w:p w14:paraId="02964C5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355" w:type="dxa"/>
            <w:vAlign w:val="center"/>
          </w:tcPr>
          <w:p w14:paraId="41F600C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750" w:type="dxa"/>
            <w:vAlign w:val="center"/>
          </w:tcPr>
          <w:p w14:paraId="49F98765">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304" w:type="dxa"/>
            <w:vAlign w:val="center"/>
          </w:tcPr>
          <w:p w14:paraId="5EDD801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020" w:type="dxa"/>
            <w:vAlign w:val="center"/>
          </w:tcPr>
          <w:p w14:paraId="5FD3405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20" w:type="dxa"/>
            <w:vAlign w:val="center"/>
          </w:tcPr>
          <w:p w14:paraId="6B3BDD8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0986F267">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1306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jc w:val="center"/>
        </w:trPr>
        <w:tc>
          <w:tcPr>
            <w:tcW w:w="627" w:type="dxa"/>
            <w:vAlign w:val="center"/>
          </w:tcPr>
          <w:p w14:paraId="05C3334A">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185" w:type="dxa"/>
            <w:vAlign w:val="center"/>
          </w:tcPr>
          <w:p w14:paraId="4DB0861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355" w:type="dxa"/>
            <w:vAlign w:val="center"/>
          </w:tcPr>
          <w:p w14:paraId="45B0E09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750" w:type="dxa"/>
            <w:vAlign w:val="center"/>
          </w:tcPr>
          <w:p w14:paraId="0CF568C2">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304" w:type="dxa"/>
            <w:vAlign w:val="center"/>
          </w:tcPr>
          <w:p w14:paraId="09CADBD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20" w:type="dxa"/>
            <w:vAlign w:val="center"/>
          </w:tcPr>
          <w:p w14:paraId="7912C69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020" w:type="dxa"/>
            <w:vAlign w:val="center"/>
          </w:tcPr>
          <w:p w14:paraId="36A4BD93">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3FDEAE4D">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10B3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jc w:val="center"/>
        </w:trPr>
        <w:tc>
          <w:tcPr>
            <w:tcW w:w="627" w:type="dxa"/>
            <w:vAlign w:val="center"/>
          </w:tcPr>
          <w:p w14:paraId="005F4CEF">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185" w:type="dxa"/>
            <w:vAlign w:val="center"/>
          </w:tcPr>
          <w:p w14:paraId="2462C786">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355" w:type="dxa"/>
            <w:vAlign w:val="center"/>
          </w:tcPr>
          <w:p w14:paraId="76C1B89B">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750" w:type="dxa"/>
            <w:vAlign w:val="center"/>
          </w:tcPr>
          <w:p w14:paraId="6203D73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304" w:type="dxa"/>
            <w:vAlign w:val="center"/>
          </w:tcPr>
          <w:p w14:paraId="02C36E78">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020" w:type="dxa"/>
            <w:vAlign w:val="center"/>
          </w:tcPr>
          <w:p w14:paraId="065C1DA5">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020" w:type="dxa"/>
            <w:vAlign w:val="center"/>
          </w:tcPr>
          <w:p w14:paraId="4287028E">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2FDCF99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760E0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jc w:val="center"/>
        </w:trPr>
        <w:tc>
          <w:tcPr>
            <w:tcW w:w="627" w:type="dxa"/>
            <w:vAlign w:val="center"/>
          </w:tcPr>
          <w:p w14:paraId="58048750">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185" w:type="dxa"/>
            <w:vAlign w:val="center"/>
          </w:tcPr>
          <w:p w14:paraId="7BE7FF9E">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355" w:type="dxa"/>
            <w:vAlign w:val="center"/>
          </w:tcPr>
          <w:p w14:paraId="26185EEC">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750" w:type="dxa"/>
            <w:vAlign w:val="center"/>
          </w:tcPr>
          <w:p w14:paraId="4F92D310">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304" w:type="dxa"/>
            <w:vAlign w:val="center"/>
          </w:tcPr>
          <w:p w14:paraId="1ACBC68B">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020" w:type="dxa"/>
            <w:vAlign w:val="center"/>
          </w:tcPr>
          <w:p w14:paraId="5F5BD169">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020" w:type="dxa"/>
            <w:vAlign w:val="center"/>
          </w:tcPr>
          <w:p w14:paraId="2D926111">
            <w:pPr>
              <w:keepNext w:val="0"/>
              <w:keepLines w:val="0"/>
              <w:widowControl/>
              <w:suppressLineNumbers w:val="0"/>
              <w:jc w:val="center"/>
              <w:textAlignment w:val="center"/>
              <w:rPr>
                <w:highlight w:val="none"/>
              </w:rPr>
            </w:pPr>
            <w:r>
              <w:rPr>
                <w:rFonts w:hint="default" w:ascii="Arial" w:hAnsi="Arial" w:eastAsia="宋体" w:cs="Arial"/>
                <w:i w:val="0"/>
                <w:iCs w:val="0"/>
                <w:snapToGrid w:val="0"/>
                <w:color w:val="000000"/>
                <w:kern w:val="0"/>
                <w:sz w:val="20"/>
                <w:szCs w:val="20"/>
                <w:highlight w:val="none"/>
                <w:u w:val="none"/>
                <w:lang w:val="en-US" w:eastAsia="zh-CN" w:bidi="ar"/>
              </w:rPr>
              <w:t>0</w:t>
            </w:r>
          </w:p>
        </w:tc>
        <w:tc>
          <w:tcPr>
            <w:tcW w:w="1215" w:type="dxa"/>
            <w:vAlign w:val="center"/>
          </w:tcPr>
          <w:p w14:paraId="65EE3D4A">
            <w:pPr>
              <w:keepNext w:val="0"/>
              <w:keepLines w:val="0"/>
              <w:widowControl/>
              <w:suppressLineNumbers w:val="0"/>
              <w:jc w:val="center"/>
              <w:textAlignment w:val="center"/>
              <w:rPr>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0</w:t>
            </w:r>
          </w:p>
        </w:tc>
      </w:tr>
    </w:tbl>
    <w:p w14:paraId="28202A88">
      <w:pPr>
        <w:rPr>
          <w:highlight w:val="none"/>
          <w:lang w:eastAsia="zh-CN"/>
        </w:rPr>
      </w:pPr>
      <w:r>
        <w:rPr>
          <w:highlight w:val="none"/>
          <w:lang w:eastAsia="zh-CN"/>
        </w:rPr>
        <w:br w:type="page"/>
      </w:r>
    </w:p>
    <w:p w14:paraId="121CC174">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附表5</w:t>
      </w:r>
    </w:p>
    <w:p w14:paraId="72627269">
      <w:pPr>
        <w:pStyle w:val="2"/>
        <w:rPr>
          <w:rFonts w:ascii="宋体" w:hAnsi="宋体" w:eastAsia="宋体" w:cs="宋体"/>
          <w:bCs/>
          <w:spacing w:val="9"/>
          <w:kern w:val="0"/>
          <w:sz w:val="28"/>
          <w:szCs w:val="28"/>
          <w:highlight w:val="none"/>
          <w:lang w:eastAsia="zh-CN"/>
        </w:rPr>
      </w:pPr>
      <w:bookmarkStart w:id="96" w:name="_Toc30954"/>
      <w:bookmarkStart w:id="97" w:name="_Toc17182"/>
      <w:bookmarkStart w:id="98" w:name="_Toc31921"/>
      <w:bookmarkStart w:id="99" w:name="_Toc1996"/>
      <w:r>
        <w:rPr>
          <w:rFonts w:hint="eastAsia" w:ascii="宋体" w:hAnsi="宋体" w:eastAsia="宋体" w:cs="宋体"/>
          <w:bCs/>
          <w:spacing w:val="9"/>
          <w:kern w:val="0"/>
          <w:sz w:val="28"/>
          <w:szCs w:val="28"/>
          <w:highlight w:val="none"/>
          <w:lang w:eastAsia="zh-CN"/>
        </w:rPr>
        <w:t>各专业学分比例情况一览表</w:t>
      </w:r>
      <w:bookmarkEnd w:id="96"/>
      <w:bookmarkEnd w:id="97"/>
      <w:bookmarkEnd w:id="98"/>
      <w:bookmarkEnd w:id="99"/>
    </w:p>
    <w:tbl>
      <w:tblPr>
        <w:tblStyle w:val="19"/>
        <w:tblpPr w:leftFromText="180" w:rightFromText="180" w:vertAnchor="text" w:horzAnchor="page" w:tblpX="1197" w:tblpY="254"/>
        <w:tblOverlap w:val="never"/>
        <w:tblW w:w="9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632"/>
        <w:gridCol w:w="2460"/>
        <w:gridCol w:w="2484"/>
        <w:gridCol w:w="2200"/>
      </w:tblGrid>
      <w:tr w14:paraId="54803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exact"/>
        </w:trPr>
        <w:tc>
          <w:tcPr>
            <w:tcW w:w="904" w:type="dxa"/>
            <w:vAlign w:val="center"/>
          </w:tcPr>
          <w:p w14:paraId="164F63FF">
            <w:pPr>
              <w:jc w:val="center"/>
              <w:rPr>
                <w:rFonts w:ascii="宋体" w:hAnsi="宋体" w:eastAsia="宋体" w:cs="宋体"/>
                <w:b/>
                <w:bCs/>
                <w:kern w:val="2"/>
                <w:highlight w:val="none"/>
              </w:rPr>
            </w:pPr>
            <w:r>
              <w:rPr>
                <w:rFonts w:hint="eastAsia" w:ascii="宋体" w:hAnsi="宋体" w:eastAsia="宋体" w:cs="宋体"/>
                <w:b/>
                <w:bCs/>
                <w:kern w:val="2"/>
                <w:highlight w:val="none"/>
              </w:rPr>
              <w:t>序号</w:t>
            </w:r>
          </w:p>
        </w:tc>
        <w:tc>
          <w:tcPr>
            <w:tcW w:w="1632" w:type="dxa"/>
            <w:vAlign w:val="center"/>
          </w:tcPr>
          <w:p w14:paraId="69490216">
            <w:pPr>
              <w:jc w:val="center"/>
              <w:rPr>
                <w:rFonts w:ascii="宋体" w:hAnsi="宋体" w:eastAsia="宋体" w:cs="宋体"/>
                <w:b/>
                <w:bCs/>
                <w:kern w:val="2"/>
                <w:highlight w:val="none"/>
              </w:rPr>
            </w:pPr>
            <w:r>
              <w:rPr>
                <w:rFonts w:hint="eastAsia" w:ascii="宋体" w:hAnsi="宋体" w:eastAsia="宋体" w:cs="宋体"/>
                <w:b/>
                <w:bCs/>
                <w:kern w:val="2"/>
                <w:highlight w:val="none"/>
              </w:rPr>
              <w:t>校内专业代码</w:t>
            </w:r>
          </w:p>
        </w:tc>
        <w:tc>
          <w:tcPr>
            <w:tcW w:w="2460" w:type="dxa"/>
            <w:vAlign w:val="center"/>
          </w:tcPr>
          <w:p w14:paraId="75F8464A">
            <w:pPr>
              <w:jc w:val="center"/>
              <w:rPr>
                <w:rFonts w:ascii="宋体" w:hAnsi="宋体" w:eastAsia="宋体" w:cs="宋体"/>
                <w:b/>
                <w:bCs/>
                <w:kern w:val="2"/>
                <w:highlight w:val="none"/>
              </w:rPr>
            </w:pPr>
            <w:r>
              <w:rPr>
                <w:rFonts w:hint="eastAsia" w:ascii="宋体" w:hAnsi="宋体" w:eastAsia="宋体" w:cs="宋体"/>
                <w:b/>
                <w:bCs/>
                <w:kern w:val="2"/>
                <w:highlight w:val="none"/>
              </w:rPr>
              <w:t>校内专业名称</w:t>
            </w:r>
          </w:p>
        </w:tc>
        <w:tc>
          <w:tcPr>
            <w:tcW w:w="2484" w:type="dxa"/>
            <w:vAlign w:val="center"/>
          </w:tcPr>
          <w:p w14:paraId="6707158F">
            <w:pPr>
              <w:jc w:val="center"/>
              <w:rPr>
                <w:rFonts w:ascii="宋体" w:hAnsi="宋体" w:eastAsia="宋体" w:cs="宋体"/>
                <w:b/>
                <w:bCs/>
                <w:kern w:val="2"/>
                <w:highlight w:val="none"/>
                <w:lang w:eastAsia="zh-CN"/>
              </w:rPr>
            </w:pPr>
            <w:r>
              <w:rPr>
                <w:rFonts w:hint="eastAsia" w:ascii="宋体" w:hAnsi="宋体" w:eastAsia="宋体" w:cs="宋体"/>
                <w:b/>
                <w:bCs/>
                <w:kern w:val="2"/>
                <w:highlight w:val="none"/>
                <w:lang w:eastAsia="zh-CN"/>
              </w:rPr>
              <w:t>实践教学学分</w:t>
            </w:r>
          </w:p>
          <w:p w14:paraId="5748F669">
            <w:pPr>
              <w:jc w:val="center"/>
              <w:rPr>
                <w:rFonts w:ascii="宋体" w:hAnsi="宋体" w:eastAsia="宋体" w:cs="宋体"/>
                <w:b/>
                <w:bCs/>
                <w:kern w:val="2"/>
                <w:highlight w:val="none"/>
                <w:lang w:eastAsia="zh-CN"/>
              </w:rPr>
            </w:pPr>
            <w:r>
              <w:rPr>
                <w:rFonts w:hint="eastAsia" w:ascii="宋体" w:hAnsi="宋体" w:eastAsia="宋体" w:cs="宋体"/>
                <w:b/>
                <w:bCs/>
                <w:kern w:val="2"/>
                <w:highlight w:val="none"/>
                <w:lang w:eastAsia="zh-CN"/>
              </w:rPr>
              <w:t>占总学分的比例（%）</w:t>
            </w:r>
          </w:p>
        </w:tc>
        <w:tc>
          <w:tcPr>
            <w:tcW w:w="2200" w:type="dxa"/>
            <w:vAlign w:val="center"/>
          </w:tcPr>
          <w:p w14:paraId="0FDCA375">
            <w:pPr>
              <w:jc w:val="center"/>
              <w:rPr>
                <w:rFonts w:ascii="宋体" w:hAnsi="宋体" w:eastAsia="宋体" w:cs="宋体"/>
                <w:b/>
                <w:bCs/>
                <w:kern w:val="2"/>
                <w:highlight w:val="none"/>
                <w:lang w:eastAsia="zh-CN"/>
              </w:rPr>
            </w:pPr>
            <w:r>
              <w:rPr>
                <w:rFonts w:hint="eastAsia" w:ascii="宋体" w:hAnsi="宋体" w:eastAsia="宋体" w:cs="宋体"/>
                <w:b/>
                <w:bCs/>
                <w:kern w:val="2"/>
                <w:highlight w:val="none"/>
                <w:lang w:eastAsia="zh-CN"/>
              </w:rPr>
              <w:t>选修课学分占</w:t>
            </w:r>
          </w:p>
          <w:p w14:paraId="3A930FD4">
            <w:pPr>
              <w:jc w:val="center"/>
              <w:rPr>
                <w:rFonts w:ascii="宋体" w:hAnsi="宋体" w:eastAsia="宋体" w:cs="宋体"/>
                <w:b/>
                <w:bCs/>
                <w:kern w:val="2"/>
                <w:highlight w:val="none"/>
                <w:lang w:eastAsia="zh-CN"/>
              </w:rPr>
            </w:pPr>
            <w:r>
              <w:rPr>
                <w:rFonts w:hint="eastAsia" w:ascii="宋体" w:hAnsi="宋体" w:eastAsia="宋体" w:cs="宋体"/>
                <w:b/>
                <w:bCs/>
                <w:kern w:val="2"/>
                <w:highlight w:val="none"/>
                <w:lang w:eastAsia="zh-CN"/>
              </w:rPr>
              <w:t>总学分的比例（%）</w:t>
            </w:r>
          </w:p>
        </w:tc>
      </w:tr>
      <w:tr w14:paraId="2EF0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50F0368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632" w:type="dxa"/>
            <w:vAlign w:val="center"/>
          </w:tcPr>
          <w:p w14:paraId="3DBAFC7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460" w:type="dxa"/>
            <w:vAlign w:val="center"/>
          </w:tcPr>
          <w:p w14:paraId="7968509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2484" w:type="dxa"/>
            <w:vAlign w:val="center"/>
          </w:tcPr>
          <w:p w14:paraId="0D7E872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47.22</w:t>
            </w:r>
          </w:p>
        </w:tc>
        <w:tc>
          <w:tcPr>
            <w:tcW w:w="2200" w:type="dxa"/>
            <w:vAlign w:val="center"/>
          </w:tcPr>
          <w:p w14:paraId="0B7FFB7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14.81</w:t>
            </w:r>
          </w:p>
        </w:tc>
      </w:tr>
      <w:tr w14:paraId="585D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1DE365F2">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632" w:type="dxa"/>
            <w:vAlign w:val="center"/>
          </w:tcPr>
          <w:p w14:paraId="4657A6CD">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460" w:type="dxa"/>
            <w:vAlign w:val="center"/>
          </w:tcPr>
          <w:p w14:paraId="20B9457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2484" w:type="dxa"/>
            <w:vAlign w:val="center"/>
          </w:tcPr>
          <w:p w14:paraId="23CCEBA0">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29.62</w:t>
            </w:r>
          </w:p>
        </w:tc>
        <w:tc>
          <w:tcPr>
            <w:tcW w:w="2200" w:type="dxa"/>
            <w:vAlign w:val="center"/>
          </w:tcPr>
          <w:p w14:paraId="6A8A939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19.11</w:t>
            </w:r>
          </w:p>
        </w:tc>
      </w:tr>
      <w:tr w14:paraId="5B05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53BE6909">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632" w:type="dxa"/>
            <w:vAlign w:val="center"/>
          </w:tcPr>
          <w:p w14:paraId="0AFFA6BD">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460" w:type="dxa"/>
            <w:vAlign w:val="center"/>
          </w:tcPr>
          <w:p w14:paraId="257511D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2484" w:type="dxa"/>
            <w:vAlign w:val="center"/>
          </w:tcPr>
          <w:p w14:paraId="23BBB8F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35</w:t>
            </w:r>
          </w:p>
        </w:tc>
        <w:tc>
          <w:tcPr>
            <w:tcW w:w="2200" w:type="dxa"/>
            <w:vAlign w:val="center"/>
          </w:tcPr>
          <w:p w14:paraId="12579D0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10.59</w:t>
            </w:r>
          </w:p>
        </w:tc>
      </w:tr>
      <w:tr w14:paraId="19591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790508E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632" w:type="dxa"/>
            <w:vAlign w:val="center"/>
          </w:tcPr>
          <w:p w14:paraId="3BDF8BB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460" w:type="dxa"/>
            <w:vAlign w:val="center"/>
          </w:tcPr>
          <w:p w14:paraId="2C2EF050">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2484" w:type="dxa"/>
            <w:vAlign w:val="center"/>
          </w:tcPr>
          <w:p w14:paraId="676C3F3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35.67</w:t>
            </w:r>
          </w:p>
        </w:tc>
        <w:tc>
          <w:tcPr>
            <w:tcW w:w="2200" w:type="dxa"/>
            <w:vAlign w:val="center"/>
          </w:tcPr>
          <w:p w14:paraId="29E8C01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17.68</w:t>
            </w:r>
          </w:p>
        </w:tc>
      </w:tr>
      <w:tr w14:paraId="1F7E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1181330C">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632" w:type="dxa"/>
            <w:vAlign w:val="center"/>
          </w:tcPr>
          <w:p w14:paraId="62C2488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460" w:type="dxa"/>
            <w:vAlign w:val="center"/>
          </w:tcPr>
          <w:p w14:paraId="160EE4B0">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2484" w:type="dxa"/>
            <w:vAlign w:val="center"/>
          </w:tcPr>
          <w:p w14:paraId="511A3F2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34.13</w:t>
            </w:r>
          </w:p>
        </w:tc>
        <w:tc>
          <w:tcPr>
            <w:tcW w:w="2200" w:type="dxa"/>
            <w:vAlign w:val="center"/>
          </w:tcPr>
          <w:p w14:paraId="1B53456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20.96</w:t>
            </w:r>
          </w:p>
        </w:tc>
      </w:tr>
      <w:tr w14:paraId="5F61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5A8C364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632" w:type="dxa"/>
            <w:vAlign w:val="center"/>
          </w:tcPr>
          <w:p w14:paraId="69F38CC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460" w:type="dxa"/>
            <w:vAlign w:val="center"/>
          </w:tcPr>
          <w:p w14:paraId="2E94CD1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2484" w:type="dxa"/>
            <w:vAlign w:val="center"/>
          </w:tcPr>
          <w:p w14:paraId="58ABFC9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35.54</w:t>
            </w:r>
          </w:p>
        </w:tc>
        <w:tc>
          <w:tcPr>
            <w:tcW w:w="2200" w:type="dxa"/>
            <w:vAlign w:val="center"/>
          </w:tcPr>
          <w:p w14:paraId="0C57B70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21.69</w:t>
            </w:r>
          </w:p>
        </w:tc>
      </w:tr>
      <w:tr w14:paraId="52FD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2AA9C6C9">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632" w:type="dxa"/>
            <w:vAlign w:val="center"/>
          </w:tcPr>
          <w:p w14:paraId="5BD5524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460" w:type="dxa"/>
            <w:vAlign w:val="center"/>
          </w:tcPr>
          <w:p w14:paraId="71D8E74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2484" w:type="dxa"/>
            <w:vAlign w:val="center"/>
          </w:tcPr>
          <w:p w14:paraId="78E7780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34.97</w:t>
            </w:r>
          </w:p>
        </w:tc>
        <w:tc>
          <w:tcPr>
            <w:tcW w:w="2200" w:type="dxa"/>
            <w:vAlign w:val="center"/>
          </w:tcPr>
          <w:p w14:paraId="0C11FFF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16.56</w:t>
            </w:r>
          </w:p>
        </w:tc>
      </w:tr>
      <w:tr w14:paraId="2CBC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3A111EA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632" w:type="dxa"/>
            <w:vAlign w:val="center"/>
          </w:tcPr>
          <w:p w14:paraId="20676A3C">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460" w:type="dxa"/>
            <w:vAlign w:val="center"/>
          </w:tcPr>
          <w:p w14:paraId="09856AD6">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2484" w:type="dxa"/>
            <w:vAlign w:val="center"/>
          </w:tcPr>
          <w:p w14:paraId="15F14BA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38.48</w:t>
            </w:r>
          </w:p>
        </w:tc>
        <w:tc>
          <w:tcPr>
            <w:tcW w:w="2200" w:type="dxa"/>
            <w:vAlign w:val="center"/>
          </w:tcPr>
          <w:p w14:paraId="7BCDDE1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18.79</w:t>
            </w:r>
          </w:p>
        </w:tc>
      </w:tr>
      <w:tr w14:paraId="22BD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1BE8328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632" w:type="dxa"/>
            <w:vAlign w:val="center"/>
          </w:tcPr>
          <w:p w14:paraId="20E517B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460" w:type="dxa"/>
            <w:vAlign w:val="center"/>
          </w:tcPr>
          <w:p w14:paraId="507AD039">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2484" w:type="dxa"/>
            <w:vAlign w:val="center"/>
          </w:tcPr>
          <w:p w14:paraId="33F8A3C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36.36</w:t>
            </w:r>
          </w:p>
        </w:tc>
        <w:tc>
          <w:tcPr>
            <w:tcW w:w="2200" w:type="dxa"/>
            <w:vAlign w:val="center"/>
          </w:tcPr>
          <w:p w14:paraId="31E5BC96">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18.18</w:t>
            </w:r>
          </w:p>
        </w:tc>
      </w:tr>
      <w:tr w14:paraId="35039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2EED3BF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632" w:type="dxa"/>
            <w:vAlign w:val="center"/>
          </w:tcPr>
          <w:p w14:paraId="6CE9275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460" w:type="dxa"/>
            <w:vAlign w:val="center"/>
          </w:tcPr>
          <w:p w14:paraId="6CB9D95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2484" w:type="dxa"/>
            <w:vAlign w:val="center"/>
          </w:tcPr>
          <w:p w14:paraId="2A3EDC9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29.12</w:t>
            </w:r>
          </w:p>
        </w:tc>
        <w:tc>
          <w:tcPr>
            <w:tcW w:w="2200" w:type="dxa"/>
            <w:vAlign w:val="center"/>
          </w:tcPr>
          <w:p w14:paraId="786BCD4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14.12</w:t>
            </w:r>
          </w:p>
        </w:tc>
      </w:tr>
      <w:tr w14:paraId="0BBB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77E78C0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632" w:type="dxa"/>
            <w:vAlign w:val="center"/>
          </w:tcPr>
          <w:p w14:paraId="5EE4318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460" w:type="dxa"/>
            <w:vAlign w:val="center"/>
          </w:tcPr>
          <w:p w14:paraId="39FEA6E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2484" w:type="dxa"/>
            <w:vAlign w:val="center"/>
          </w:tcPr>
          <w:p w14:paraId="428788C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32.83</w:t>
            </w:r>
          </w:p>
        </w:tc>
        <w:tc>
          <w:tcPr>
            <w:tcW w:w="2200" w:type="dxa"/>
            <w:vAlign w:val="center"/>
          </w:tcPr>
          <w:p w14:paraId="6DCDF5D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12.05</w:t>
            </w:r>
          </w:p>
        </w:tc>
      </w:tr>
      <w:tr w14:paraId="1DC7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334F6FC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632" w:type="dxa"/>
            <w:vAlign w:val="center"/>
          </w:tcPr>
          <w:p w14:paraId="3CD5EDF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460" w:type="dxa"/>
            <w:vAlign w:val="center"/>
          </w:tcPr>
          <w:p w14:paraId="5805C62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2484" w:type="dxa"/>
            <w:vAlign w:val="center"/>
          </w:tcPr>
          <w:p w14:paraId="06CB140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35.88</w:t>
            </w:r>
          </w:p>
        </w:tc>
        <w:tc>
          <w:tcPr>
            <w:tcW w:w="2200" w:type="dxa"/>
            <w:vAlign w:val="center"/>
          </w:tcPr>
          <w:p w14:paraId="2E9AB13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14.12</w:t>
            </w:r>
          </w:p>
        </w:tc>
      </w:tr>
      <w:tr w14:paraId="5D6C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584B03F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632" w:type="dxa"/>
            <w:vAlign w:val="center"/>
          </w:tcPr>
          <w:p w14:paraId="28FB101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460" w:type="dxa"/>
            <w:vAlign w:val="center"/>
          </w:tcPr>
          <w:p w14:paraId="5376FE14">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2484" w:type="dxa"/>
            <w:vAlign w:val="center"/>
          </w:tcPr>
          <w:p w14:paraId="21C7489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32.65</w:t>
            </w:r>
          </w:p>
        </w:tc>
        <w:tc>
          <w:tcPr>
            <w:tcW w:w="2200" w:type="dxa"/>
            <w:vAlign w:val="center"/>
          </w:tcPr>
          <w:p w14:paraId="06CC75B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14.12</w:t>
            </w:r>
          </w:p>
        </w:tc>
      </w:tr>
      <w:tr w14:paraId="1FB7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021F43B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632" w:type="dxa"/>
            <w:vAlign w:val="center"/>
          </w:tcPr>
          <w:p w14:paraId="1B3D8894">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460" w:type="dxa"/>
            <w:vAlign w:val="center"/>
          </w:tcPr>
          <w:p w14:paraId="2EC68B49">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2484" w:type="dxa"/>
            <w:vAlign w:val="center"/>
          </w:tcPr>
          <w:p w14:paraId="26FFE41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33.53</w:t>
            </w:r>
          </w:p>
        </w:tc>
        <w:tc>
          <w:tcPr>
            <w:tcW w:w="2200" w:type="dxa"/>
            <w:vAlign w:val="center"/>
          </w:tcPr>
          <w:p w14:paraId="6ACB57A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w:t>
            </w:r>
          </w:p>
        </w:tc>
      </w:tr>
      <w:tr w14:paraId="0FEF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411E6B0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632" w:type="dxa"/>
            <w:vAlign w:val="center"/>
          </w:tcPr>
          <w:p w14:paraId="3FE97ED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460" w:type="dxa"/>
            <w:vAlign w:val="center"/>
          </w:tcPr>
          <w:p w14:paraId="51A0198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2484" w:type="dxa"/>
            <w:vAlign w:val="center"/>
          </w:tcPr>
          <w:p w14:paraId="0B962B2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37.64</w:t>
            </w:r>
          </w:p>
        </w:tc>
        <w:tc>
          <w:tcPr>
            <w:tcW w:w="2200" w:type="dxa"/>
            <w:vAlign w:val="center"/>
          </w:tcPr>
          <w:p w14:paraId="0CF4EFA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17.98</w:t>
            </w:r>
          </w:p>
        </w:tc>
      </w:tr>
      <w:tr w14:paraId="4983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1ED08D7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632" w:type="dxa"/>
            <w:vAlign w:val="center"/>
          </w:tcPr>
          <w:p w14:paraId="6229D18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460" w:type="dxa"/>
            <w:vAlign w:val="center"/>
          </w:tcPr>
          <w:p w14:paraId="54724394">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2484" w:type="dxa"/>
            <w:vAlign w:val="center"/>
          </w:tcPr>
          <w:p w14:paraId="127EB42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35.63</w:t>
            </w:r>
          </w:p>
        </w:tc>
        <w:tc>
          <w:tcPr>
            <w:tcW w:w="2200" w:type="dxa"/>
            <w:vAlign w:val="center"/>
          </w:tcPr>
          <w:p w14:paraId="6E4B233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12.64</w:t>
            </w:r>
          </w:p>
        </w:tc>
      </w:tr>
      <w:tr w14:paraId="7D5D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2EC1D220">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632" w:type="dxa"/>
            <w:vAlign w:val="center"/>
          </w:tcPr>
          <w:p w14:paraId="71FA0A1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460" w:type="dxa"/>
            <w:vAlign w:val="center"/>
          </w:tcPr>
          <w:p w14:paraId="0A1CD7E3">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2484" w:type="dxa"/>
            <w:vAlign w:val="center"/>
          </w:tcPr>
          <w:p w14:paraId="724BF9A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36.47</w:t>
            </w:r>
          </w:p>
        </w:tc>
        <w:tc>
          <w:tcPr>
            <w:tcW w:w="2200" w:type="dxa"/>
            <w:vAlign w:val="center"/>
          </w:tcPr>
          <w:p w14:paraId="1AA95E0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11.76</w:t>
            </w:r>
          </w:p>
        </w:tc>
      </w:tr>
      <w:tr w14:paraId="41B22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24FB3244">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632" w:type="dxa"/>
            <w:vAlign w:val="center"/>
          </w:tcPr>
          <w:p w14:paraId="3B081E50">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460" w:type="dxa"/>
            <w:vAlign w:val="center"/>
          </w:tcPr>
          <w:p w14:paraId="771E1779">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2484" w:type="dxa"/>
            <w:vAlign w:val="center"/>
          </w:tcPr>
          <w:p w14:paraId="7050886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36.84</w:t>
            </w:r>
          </w:p>
        </w:tc>
        <w:tc>
          <w:tcPr>
            <w:tcW w:w="2200" w:type="dxa"/>
            <w:vAlign w:val="center"/>
          </w:tcPr>
          <w:p w14:paraId="5A4A020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11.7</w:t>
            </w:r>
          </w:p>
        </w:tc>
      </w:tr>
      <w:tr w14:paraId="6877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5FD2E183">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632" w:type="dxa"/>
            <w:vAlign w:val="center"/>
          </w:tcPr>
          <w:p w14:paraId="16EF380C">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460" w:type="dxa"/>
            <w:vAlign w:val="center"/>
          </w:tcPr>
          <w:p w14:paraId="0F1D5AC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2484" w:type="dxa"/>
            <w:vAlign w:val="center"/>
          </w:tcPr>
          <w:p w14:paraId="61177A1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30.72</w:t>
            </w:r>
          </w:p>
        </w:tc>
        <w:tc>
          <w:tcPr>
            <w:tcW w:w="2200" w:type="dxa"/>
            <w:vAlign w:val="center"/>
          </w:tcPr>
          <w:p w14:paraId="0832F25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18.07</w:t>
            </w:r>
          </w:p>
        </w:tc>
      </w:tr>
      <w:tr w14:paraId="13BD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0F1001C9">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632" w:type="dxa"/>
            <w:vAlign w:val="center"/>
          </w:tcPr>
          <w:p w14:paraId="4182D7A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460" w:type="dxa"/>
            <w:vAlign w:val="center"/>
          </w:tcPr>
          <w:p w14:paraId="60889024">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2484" w:type="dxa"/>
            <w:vAlign w:val="center"/>
          </w:tcPr>
          <w:p w14:paraId="0CE5241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37.5</w:t>
            </w:r>
          </w:p>
        </w:tc>
        <w:tc>
          <w:tcPr>
            <w:tcW w:w="2200" w:type="dxa"/>
            <w:vAlign w:val="center"/>
          </w:tcPr>
          <w:p w14:paraId="297868F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13.41</w:t>
            </w:r>
          </w:p>
        </w:tc>
      </w:tr>
      <w:tr w14:paraId="7C135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2BBB0B88">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632" w:type="dxa"/>
            <w:vAlign w:val="center"/>
          </w:tcPr>
          <w:p w14:paraId="4B463B13">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460" w:type="dxa"/>
            <w:vAlign w:val="center"/>
          </w:tcPr>
          <w:p w14:paraId="51442282">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2484" w:type="dxa"/>
            <w:vAlign w:val="center"/>
          </w:tcPr>
          <w:p w14:paraId="687650A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40.88</w:t>
            </w:r>
          </w:p>
        </w:tc>
        <w:tc>
          <w:tcPr>
            <w:tcW w:w="2200" w:type="dxa"/>
            <w:vAlign w:val="center"/>
          </w:tcPr>
          <w:p w14:paraId="20A52EE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14.71</w:t>
            </w:r>
          </w:p>
        </w:tc>
      </w:tr>
      <w:tr w14:paraId="24AEB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4E4F4FA8">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632" w:type="dxa"/>
            <w:vAlign w:val="center"/>
          </w:tcPr>
          <w:p w14:paraId="271A38B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460" w:type="dxa"/>
            <w:vAlign w:val="center"/>
          </w:tcPr>
          <w:p w14:paraId="011318B0">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2484" w:type="dxa"/>
            <w:vAlign w:val="center"/>
          </w:tcPr>
          <w:p w14:paraId="15F7B3E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29.88</w:t>
            </w:r>
          </w:p>
        </w:tc>
        <w:tc>
          <w:tcPr>
            <w:tcW w:w="2200" w:type="dxa"/>
            <w:vAlign w:val="center"/>
          </w:tcPr>
          <w:p w14:paraId="70ACB86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13.61</w:t>
            </w:r>
          </w:p>
        </w:tc>
      </w:tr>
      <w:tr w14:paraId="2FF1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1E03D917">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632" w:type="dxa"/>
            <w:vAlign w:val="center"/>
          </w:tcPr>
          <w:p w14:paraId="481AC56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460" w:type="dxa"/>
            <w:vAlign w:val="center"/>
          </w:tcPr>
          <w:p w14:paraId="2E84EE5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2484" w:type="dxa"/>
            <w:vAlign w:val="center"/>
          </w:tcPr>
          <w:p w14:paraId="232CC7D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59.62</w:t>
            </w:r>
          </w:p>
        </w:tc>
        <w:tc>
          <w:tcPr>
            <w:tcW w:w="2200" w:type="dxa"/>
            <w:vAlign w:val="center"/>
          </w:tcPr>
          <w:p w14:paraId="2275B00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14.29</w:t>
            </w:r>
          </w:p>
        </w:tc>
      </w:tr>
      <w:tr w14:paraId="66776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7D3256E4">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632" w:type="dxa"/>
            <w:vAlign w:val="center"/>
          </w:tcPr>
          <w:p w14:paraId="55BFA16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460" w:type="dxa"/>
            <w:vAlign w:val="center"/>
          </w:tcPr>
          <w:p w14:paraId="013A459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2484" w:type="dxa"/>
            <w:vAlign w:val="center"/>
          </w:tcPr>
          <w:p w14:paraId="6C06C756">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47.48</w:t>
            </w:r>
          </w:p>
        </w:tc>
        <w:tc>
          <w:tcPr>
            <w:tcW w:w="2200" w:type="dxa"/>
            <w:vAlign w:val="center"/>
          </w:tcPr>
          <w:p w14:paraId="42690A5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18.55</w:t>
            </w:r>
          </w:p>
        </w:tc>
      </w:tr>
      <w:tr w14:paraId="2BD2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04" w:type="dxa"/>
            <w:vAlign w:val="center"/>
          </w:tcPr>
          <w:p w14:paraId="3B1E4422">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632" w:type="dxa"/>
            <w:vAlign w:val="center"/>
          </w:tcPr>
          <w:p w14:paraId="78B8FA4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460" w:type="dxa"/>
            <w:vAlign w:val="center"/>
          </w:tcPr>
          <w:p w14:paraId="073AE93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2484" w:type="dxa"/>
            <w:vAlign w:val="center"/>
          </w:tcPr>
          <w:p w14:paraId="6F978EA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50</w:t>
            </w:r>
          </w:p>
        </w:tc>
        <w:tc>
          <w:tcPr>
            <w:tcW w:w="2200" w:type="dxa"/>
            <w:vAlign w:val="center"/>
          </w:tcPr>
          <w:p w14:paraId="134FEDE1">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19.68</w:t>
            </w:r>
          </w:p>
        </w:tc>
      </w:tr>
    </w:tbl>
    <w:p w14:paraId="26C1BBA8">
      <w:pPr>
        <w:rPr>
          <w:highlight w:val="none"/>
          <w:lang w:eastAsia="zh-CN"/>
        </w:rPr>
      </w:pPr>
    </w:p>
    <w:p w14:paraId="61DCAC40">
      <w:pPr>
        <w:rPr>
          <w:highlight w:val="none"/>
          <w:lang w:eastAsia="zh-CN"/>
        </w:rPr>
      </w:pPr>
      <w:r>
        <w:rPr>
          <w:highlight w:val="none"/>
          <w:lang w:eastAsia="zh-CN"/>
        </w:rPr>
        <w:br w:type="page"/>
      </w:r>
    </w:p>
    <w:p w14:paraId="4DFE6E1D">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附表6</w:t>
      </w:r>
    </w:p>
    <w:p w14:paraId="5E0CC241">
      <w:pPr>
        <w:pStyle w:val="2"/>
        <w:rPr>
          <w:rFonts w:ascii="宋体" w:hAnsi="宋体" w:eastAsia="宋体" w:cs="宋体"/>
          <w:bCs/>
          <w:spacing w:val="9"/>
          <w:kern w:val="0"/>
          <w:sz w:val="28"/>
          <w:szCs w:val="28"/>
          <w:highlight w:val="none"/>
          <w:lang w:eastAsia="zh-CN"/>
        </w:rPr>
      </w:pPr>
      <w:bookmarkStart w:id="100" w:name="_Toc232"/>
      <w:bookmarkStart w:id="101" w:name="_Toc12771"/>
      <w:bookmarkStart w:id="102" w:name="_Toc19926"/>
      <w:bookmarkStart w:id="103" w:name="_Toc31707"/>
      <w:r>
        <w:rPr>
          <w:rFonts w:hint="eastAsia" w:ascii="宋体" w:hAnsi="宋体" w:eastAsia="宋体" w:cs="宋体"/>
          <w:bCs/>
          <w:spacing w:val="9"/>
          <w:kern w:val="0"/>
          <w:sz w:val="28"/>
          <w:szCs w:val="28"/>
          <w:highlight w:val="none"/>
          <w:lang w:eastAsia="zh-CN"/>
        </w:rPr>
        <w:t>各专业教授上课情况一览表</w:t>
      </w:r>
      <w:bookmarkEnd w:id="100"/>
      <w:bookmarkEnd w:id="101"/>
      <w:bookmarkEnd w:id="102"/>
      <w:bookmarkEnd w:id="103"/>
    </w:p>
    <w:tbl>
      <w:tblPr>
        <w:tblStyle w:val="19"/>
        <w:tblW w:w="8667" w:type="dxa"/>
        <w:jc w:val="center"/>
        <w:tblLayout w:type="fixed"/>
        <w:tblCellMar>
          <w:top w:w="0" w:type="dxa"/>
          <w:left w:w="108" w:type="dxa"/>
          <w:bottom w:w="0" w:type="dxa"/>
          <w:right w:w="108" w:type="dxa"/>
        </w:tblCellMar>
      </w:tblPr>
      <w:tblGrid>
        <w:gridCol w:w="1080"/>
        <w:gridCol w:w="1420"/>
        <w:gridCol w:w="2760"/>
        <w:gridCol w:w="3407"/>
      </w:tblGrid>
      <w:tr w14:paraId="37F68099">
        <w:trPr>
          <w:trHeight w:val="99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7EBCCBA">
            <w:pPr>
              <w:jc w:val="center"/>
              <w:textAlignment w:val="center"/>
              <w:rPr>
                <w:rFonts w:ascii="宋体" w:hAnsi="宋体" w:eastAsia="宋体" w:cs="宋体"/>
                <w:b/>
                <w:color w:val="auto"/>
                <w:highlight w:val="none"/>
                <w:lang w:bidi="ar"/>
              </w:rPr>
            </w:pPr>
            <w:r>
              <w:rPr>
                <w:rFonts w:hint="eastAsia" w:ascii="宋体" w:hAnsi="宋体" w:eastAsia="宋体" w:cs="宋体"/>
                <w:b/>
                <w:color w:val="auto"/>
                <w:highlight w:val="none"/>
                <w:lang w:bidi="ar"/>
              </w:rPr>
              <w:t>序号</w:t>
            </w:r>
          </w:p>
        </w:tc>
        <w:tc>
          <w:tcPr>
            <w:tcW w:w="1420" w:type="dxa"/>
            <w:tcBorders>
              <w:top w:val="single" w:color="auto" w:sz="4" w:space="0"/>
              <w:left w:val="nil"/>
              <w:bottom w:val="single" w:color="auto" w:sz="4" w:space="0"/>
              <w:right w:val="single" w:color="auto" w:sz="4" w:space="0"/>
            </w:tcBorders>
            <w:vAlign w:val="center"/>
          </w:tcPr>
          <w:p w14:paraId="26445B9B">
            <w:pPr>
              <w:jc w:val="center"/>
              <w:textAlignment w:val="center"/>
              <w:rPr>
                <w:rFonts w:ascii="宋体" w:hAnsi="宋体" w:eastAsia="宋体" w:cs="宋体"/>
                <w:b/>
                <w:color w:val="auto"/>
                <w:highlight w:val="none"/>
                <w:lang w:bidi="ar"/>
              </w:rPr>
            </w:pPr>
            <w:r>
              <w:rPr>
                <w:rFonts w:hint="eastAsia" w:ascii="宋体" w:hAnsi="宋体" w:eastAsia="宋体" w:cs="宋体"/>
                <w:b/>
                <w:color w:val="auto"/>
                <w:highlight w:val="none"/>
                <w:lang w:bidi="ar"/>
              </w:rPr>
              <w:t>专业代码</w:t>
            </w:r>
          </w:p>
        </w:tc>
        <w:tc>
          <w:tcPr>
            <w:tcW w:w="2760" w:type="dxa"/>
            <w:tcBorders>
              <w:top w:val="single" w:color="auto" w:sz="4" w:space="0"/>
              <w:left w:val="nil"/>
              <w:bottom w:val="single" w:color="auto" w:sz="4" w:space="0"/>
              <w:right w:val="single" w:color="auto" w:sz="4" w:space="0"/>
            </w:tcBorders>
            <w:vAlign w:val="center"/>
          </w:tcPr>
          <w:p w14:paraId="70C56325">
            <w:pPr>
              <w:jc w:val="center"/>
              <w:textAlignment w:val="center"/>
              <w:rPr>
                <w:rFonts w:ascii="宋体" w:hAnsi="宋体" w:eastAsia="宋体" w:cs="宋体"/>
                <w:b/>
                <w:color w:val="auto"/>
                <w:highlight w:val="none"/>
                <w:lang w:bidi="ar"/>
              </w:rPr>
            </w:pPr>
            <w:r>
              <w:rPr>
                <w:rFonts w:hint="eastAsia" w:ascii="宋体" w:hAnsi="宋体" w:eastAsia="宋体" w:cs="宋体"/>
                <w:b/>
                <w:color w:val="auto"/>
                <w:highlight w:val="none"/>
                <w:lang w:bidi="ar"/>
              </w:rPr>
              <w:t>专业名称</w:t>
            </w:r>
          </w:p>
        </w:tc>
        <w:tc>
          <w:tcPr>
            <w:tcW w:w="3407" w:type="dxa"/>
            <w:tcBorders>
              <w:top w:val="single" w:color="auto" w:sz="4" w:space="0"/>
              <w:left w:val="nil"/>
              <w:bottom w:val="single" w:color="auto" w:sz="4" w:space="0"/>
              <w:right w:val="single" w:color="auto" w:sz="4" w:space="0"/>
            </w:tcBorders>
            <w:vAlign w:val="center"/>
          </w:tcPr>
          <w:p w14:paraId="025DA0A9">
            <w:pPr>
              <w:jc w:val="center"/>
              <w:textAlignment w:val="center"/>
              <w:rPr>
                <w:rFonts w:ascii="宋体" w:hAnsi="宋体" w:eastAsia="宋体" w:cs="宋体"/>
                <w:b/>
                <w:color w:val="auto"/>
                <w:highlight w:val="none"/>
                <w:lang w:eastAsia="zh-CN" w:bidi="ar"/>
              </w:rPr>
            </w:pPr>
            <w:r>
              <w:rPr>
                <w:rFonts w:hint="eastAsia" w:ascii="宋体" w:hAnsi="宋体" w:eastAsia="宋体" w:cs="宋体"/>
                <w:b/>
                <w:color w:val="auto"/>
                <w:highlight w:val="none"/>
                <w:lang w:eastAsia="zh-CN" w:bidi="ar"/>
              </w:rPr>
              <w:t>主讲本科课程的本专业教授占本专业教授总数的比例</w:t>
            </w:r>
          </w:p>
        </w:tc>
      </w:tr>
      <w:tr w14:paraId="242CC97B">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E7434CD">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w:t>
            </w:r>
          </w:p>
        </w:tc>
        <w:tc>
          <w:tcPr>
            <w:tcW w:w="1420" w:type="dxa"/>
            <w:tcBorders>
              <w:top w:val="single" w:color="auto" w:sz="4" w:space="0"/>
              <w:left w:val="single" w:color="auto" w:sz="4" w:space="0"/>
              <w:bottom w:val="single" w:color="auto" w:sz="4" w:space="0"/>
              <w:right w:val="single" w:color="auto" w:sz="4" w:space="0"/>
            </w:tcBorders>
            <w:vAlign w:val="center"/>
          </w:tcPr>
          <w:p w14:paraId="5667AED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760" w:type="dxa"/>
            <w:tcBorders>
              <w:top w:val="single" w:color="auto" w:sz="4" w:space="0"/>
              <w:left w:val="single" w:color="auto" w:sz="4" w:space="0"/>
              <w:bottom w:val="single" w:color="auto" w:sz="4" w:space="0"/>
              <w:right w:val="single" w:color="auto" w:sz="4" w:space="0"/>
            </w:tcBorders>
            <w:vAlign w:val="center"/>
          </w:tcPr>
          <w:p w14:paraId="7E366205">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3407" w:type="dxa"/>
            <w:tcBorders>
              <w:top w:val="single" w:color="auto" w:sz="4" w:space="0"/>
              <w:left w:val="single" w:color="auto" w:sz="4" w:space="0"/>
              <w:bottom w:val="single" w:color="auto" w:sz="4" w:space="0"/>
              <w:right w:val="single" w:color="auto" w:sz="4" w:space="0"/>
            </w:tcBorders>
            <w:vAlign w:val="center"/>
          </w:tcPr>
          <w:p w14:paraId="11D8273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0DAEA53">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2B37872">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w:t>
            </w:r>
          </w:p>
        </w:tc>
        <w:tc>
          <w:tcPr>
            <w:tcW w:w="1420" w:type="dxa"/>
            <w:tcBorders>
              <w:top w:val="single" w:color="auto" w:sz="4" w:space="0"/>
              <w:left w:val="single" w:color="auto" w:sz="4" w:space="0"/>
              <w:bottom w:val="single" w:color="auto" w:sz="4" w:space="0"/>
              <w:right w:val="single" w:color="auto" w:sz="4" w:space="0"/>
            </w:tcBorders>
            <w:vAlign w:val="center"/>
          </w:tcPr>
          <w:p w14:paraId="0A328616">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760" w:type="dxa"/>
            <w:tcBorders>
              <w:top w:val="single" w:color="auto" w:sz="4" w:space="0"/>
              <w:left w:val="single" w:color="auto" w:sz="4" w:space="0"/>
              <w:bottom w:val="single" w:color="auto" w:sz="4" w:space="0"/>
              <w:right w:val="single" w:color="auto" w:sz="4" w:space="0"/>
            </w:tcBorders>
            <w:vAlign w:val="center"/>
          </w:tcPr>
          <w:p w14:paraId="65C05A6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3407" w:type="dxa"/>
            <w:tcBorders>
              <w:top w:val="single" w:color="auto" w:sz="4" w:space="0"/>
              <w:left w:val="single" w:color="auto" w:sz="4" w:space="0"/>
              <w:bottom w:val="single" w:color="auto" w:sz="4" w:space="0"/>
              <w:right w:val="single" w:color="auto" w:sz="4" w:space="0"/>
            </w:tcBorders>
            <w:vAlign w:val="center"/>
          </w:tcPr>
          <w:p w14:paraId="27616738">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A1E00F8">
        <w:tblPrEx>
          <w:tblCellMar>
            <w:top w:w="0" w:type="dxa"/>
            <w:left w:w="108" w:type="dxa"/>
            <w:bottom w:w="0" w:type="dxa"/>
            <w:right w:w="108" w:type="dxa"/>
          </w:tblCellMar>
        </w:tblPrEx>
        <w:trPr>
          <w:trHeight w:val="38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B8F5226">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3</w:t>
            </w:r>
          </w:p>
        </w:tc>
        <w:tc>
          <w:tcPr>
            <w:tcW w:w="1420" w:type="dxa"/>
            <w:tcBorders>
              <w:top w:val="single" w:color="auto" w:sz="4" w:space="0"/>
              <w:left w:val="single" w:color="auto" w:sz="4" w:space="0"/>
              <w:bottom w:val="single" w:color="auto" w:sz="4" w:space="0"/>
              <w:right w:val="single" w:color="auto" w:sz="4" w:space="0"/>
            </w:tcBorders>
            <w:vAlign w:val="center"/>
          </w:tcPr>
          <w:p w14:paraId="2250F599">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760" w:type="dxa"/>
            <w:tcBorders>
              <w:top w:val="single" w:color="auto" w:sz="4" w:space="0"/>
              <w:left w:val="single" w:color="auto" w:sz="4" w:space="0"/>
              <w:bottom w:val="single" w:color="auto" w:sz="4" w:space="0"/>
              <w:right w:val="single" w:color="auto" w:sz="4" w:space="0"/>
            </w:tcBorders>
            <w:vAlign w:val="center"/>
          </w:tcPr>
          <w:p w14:paraId="1237E09F">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3407" w:type="dxa"/>
            <w:tcBorders>
              <w:top w:val="single" w:color="auto" w:sz="4" w:space="0"/>
              <w:left w:val="single" w:color="auto" w:sz="4" w:space="0"/>
              <w:bottom w:val="single" w:color="auto" w:sz="4" w:space="0"/>
              <w:right w:val="single" w:color="auto" w:sz="4" w:space="0"/>
            </w:tcBorders>
            <w:vAlign w:val="center"/>
          </w:tcPr>
          <w:p w14:paraId="6D11EAE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D7D490C">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14D9E669">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4</w:t>
            </w:r>
          </w:p>
        </w:tc>
        <w:tc>
          <w:tcPr>
            <w:tcW w:w="1420" w:type="dxa"/>
            <w:tcBorders>
              <w:top w:val="single" w:color="auto" w:sz="4" w:space="0"/>
              <w:left w:val="single" w:color="auto" w:sz="4" w:space="0"/>
              <w:bottom w:val="single" w:color="auto" w:sz="4" w:space="0"/>
              <w:right w:val="single" w:color="auto" w:sz="4" w:space="0"/>
            </w:tcBorders>
            <w:vAlign w:val="center"/>
          </w:tcPr>
          <w:p w14:paraId="51E5C77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760" w:type="dxa"/>
            <w:tcBorders>
              <w:top w:val="single" w:color="auto" w:sz="4" w:space="0"/>
              <w:left w:val="single" w:color="auto" w:sz="4" w:space="0"/>
              <w:bottom w:val="single" w:color="auto" w:sz="4" w:space="0"/>
              <w:right w:val="single" w:color="auto" w:sz="4" w:space="0"/>
            </w:tcBorders>
            <w:vAlign w:val="center"/>
          </w:tcPr>
          <w:p w14:paraId="12E958FF">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3407" w:type="dxa"/>
            <w:tcBorders>
              <w:top w:val="single" w:color="auto" w:sz="4" w:space="0"/>
              <w:left w:val="single" w:color="auto" w:sz="4" w:space="0"/>
              <w:bottom w:val="single" w:color="auto" w:sz="4" w:space="0"/>
              <w:right w:val="single" w:color="auto" w:sz="4" w:space="0"/>
            </w:tcBorders>
            <w:vAlign w:val="center"/>
          </w:tcPr>
          <w:p w14:paraId="3474B73F">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561CF34E">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4F4AD637">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5</w:t>
            </w:r>
          </w:p>
        </w:tc>
        <w:tc>
          <w:tcPr>
            <w:tcW w:w="1420" w:type="dxa"/>
            <w:tcBorders>
              <w:top w:val="single" w:color="auto" w:sz="4" w:space="0"/>
              <w:left w:val="single" w:color="auto" w:sz="4" w:space="0"/>
              <w:bottom w:val="single" w:color="auto" w:sz="4" w:space="0"/>
              <w:right w:val="single" w:color="auto" w:sz="4" w:space="0"/>
            </w:tcBorders>
            <w:vAlign w:val="center"/>
          </w:tcPr>
          <w:p w14:paraId="0377C94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760" w:type="dxa"/>
            <w:tcBorders>
              <w:top w:val="single" w:color="auto" w:sz="4" w:space="0"/>
              <w:left w:val="single" w:color="auto" w:sz="4" w:space="0"/>
              <w:bottom w:val="single" w:color="auto" w:sz="4" w:space="0"/>
              <w:right w:val="single" w:color="auto" w:sz="4" w:space="0"/>
            </w:tcBorders>
            <w:vAlign w:val="center"/>
          </w:tcPr>
          <w:p w14:paraId="71C9EC4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3407" w:type="dxa"/>
            <w:tcBorders>
              <w:top w:val="single" w:color="auto" w:sz="4" w:space="0"/>
              <w:left w:val="single" w:color="auto" w:sz="4" w:space="0"/>
              <w:bottom w:val="single" w:color="auto" w:sz="4" w:space="0"/>
              <w:right w:val="single" w:color="auto" w:sz="4" w:space="0"/>
            </w:tcBorders>
            <w:vAlign w:val="center"/>
          </w:tcPr>
          <w:p w14:paraId="102E90B3">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9E253AD">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C75879B">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6</w:t>
            </w:r>
          </w:p>
        </w:tc>
        <w:tc>
          <w:tcPr>
            <w:tcW w:w="1420" w:type="dxa"/>
            <w:tcBorders>
              <w:top w:val="single" w:color="auto" w:sz="4" w:space="0"/>
              <w:left w:val="single" w:color="auto" w:sz="4" w:space="0"/>
              <w:bottom w:val="single" w:color="auto" w:sz="4" w:space="0"/>
              <w:right w:val="single" w:color="auto" w:sz="4" w:space="0"/>
            </w:tcBorders>
            <w:vAlign w:val="center"/>
          </w:tcPr>
          <w:p w14:paraId="319C5974">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760" w:type="dxa"/>
            <w:tcBorders>
              <w:top w:val="single" w:color="auto" w:sz="4" w:space="0"/>
              <w:left w:val="single" w:color="auto" w:sz="4" w:space="0"/>
              <w:bottom w:val="single" w:color="auto" w:sz="4" w:space="0"/>
              <w:right w:val="single" w:color="auto" w:sz="4" w:space="0"/>
            </w:tcBorders>
            <w:vAlign w:val="center"/>
          </w:tcPr>
          <w:p w14:paraId="71CDDC3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3407" w:type="dxa"/>
            <w:tcBorders>
              <w:top w:val="single" w:color="auto" w:sz="4" w:space="0"/>
              <w:left w:val="single" w:color="auto" w:sz="4" w:space="0"/>
              <w:bottom w:val="single" w:color="auto" w:sz="4" w:space="0"/>
              <w:right w:val="single" w:color="auto" w:sz="4" w:space="0"/>
            </w:tcBorders>
            <w:vAlign w:val="center"/>
          </w:tcPr>
          <w:p w14:paraId="38983250">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w:t>
            </w:r>
          </w:p>
        </w:tc>
      </w:tr>
      <w:tr w14:paraId="61A640FD">
        <w:tblPrEx>
          <w:tblCellMar>
            <w:top w:w="0" w:type="dxa"/>
            <w:left w:w="108" w:type="dxa"/>
            <w:bottom w:w="0" w:type="dxa"/>
            <w:right w:w="108" w:type="dxa"/>
          </w:tblCellMar>
        </w:tblPrEx>
        <w:trPr>
          <w:trHeight w:val="4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C16CAD2">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7</w:t>
            </w:r>
          </w:p>
        </w:tc>
        <w:tc>
          <w:tcPr>
            <w:tcW w:w="1420" w:type="dxa"/>
            <w:tcBorders>
              <w:top w:val="single" w:color="auto" w:sz="4" w:space="0"/>
              <w:left w:val="single" w:color="auto" w:sz="4" w:space="0"/>
              <w:bottom w:val="single" w:color="auto" w:sz="4" w:space="0"/>
              <w:right w:val="single" w:color="auto" w:sz="4" w:space="0"/>
            </w:tcBorders>
            <w:vAlign w:val="center"/>
          </w:tcPr>
          <w:p w14:paraId="6AB94EE4">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760" w:type="dxa"/>
            <w:tcBorders>
              <w:top w:val="single" w:color="auto" w:sz="4" w:space="0"/>
              <w:left w:val="single" w:color="auto" w:sz="4" w:space="0"/>
              <w:bottom w:val="single" w:color="auto" w:sz="4" w:space="0"/>
              <w:right w:val="single" w:color="auto" w:sz="4" w:space="0"/>
            </w:tcBorders>
            <w:vAlign w:val="center"/>
          </w:tcPr>
          <w:p w14:paraId="7CDE9E15">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3407" w:type="dxa"/>
            <w:tcBorders>
              <w:top w:val="single" w:color="auto" w:sz="4" w:space="0"/>
              <w:left w:val="single" w:color="auto" w:sz="4" w:space="0"/>
              <w:bottom w:val="single" w:color="auto" w:sz="4" w:space="0"/>
              <w:right w:val="single" w:color="auto" w:sz="4" w:space="0"/>
            </w:tcBorders>
            <w:vAlign w:val="center"/>
          </w:tcPr>
          <w:p w14:paraId="72EB382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616A65A">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666883F8">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8</w:t>
            </w:r>
          </w:p>
        </w:tc>
        <w:tc>
          <w:tcPr>
            <w:tcW w:w="1420" w:type="dxa"/>
            <w:tcBorders>
              <w:top w:val="single" w:color="auto" w:sz="4" w:space="0"/>
              <w:left w:val="single" w:color="auto" w:sz="4" w:space="0"/>
              <w:bottom w:val="single" w:color="auto" w:sz="4" w:space="0"/>
              <w:right w:val="single" w:color="auto" w:sz="4" w:space="0"/>
            </w:tcBorders>
            <w:vAlign w:val="center"/>
          </w:tcPr>
          <w:p w14:paraId="6445D09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760" w:type="dxa"/>
            <w:tcBorders>
              <w:top w:val="single" w:color="auto" w:sz="4" w:space="0"/>
              <w:left w:val="single" w:color="auto" w:sz="4" w:space="0"/>
              <w:bottom w:val="single" w:color="auto" w:sz="4" w:space="0"/>
              <w:right w:val="single" w:color="auto" w:sz="4" w:space="0"/>
            </w:tcBorders>
            <w:vAlign w:val="center"/>
          </w:tcPr>
          <w:p w14:paraId="2F45AA5A">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3407" w:type="dxa"/>
            <w:tcBorders>
              <w:top w:val="single" w:color="auto" w:sz="4" w:space="0"/>
              <w:left w:val="single" w:color="auto" w:sz="4" w:space="0"/>
              <w:bottom w:val="single" w:color="auto" w:sz="4" w:space="0"/>
              <w:right w:val="single" w:color="auto" w:sz="4" w:space="0"/>
            </w:tcBorders>
            <w:vAlign w:val="center"/>
          </w:tcPr>
          <w:p w14:paraId="1B99F315">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40CD3271">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98D856A">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9</w:t>
            </w:r>
          </w:p>
        </w:tc>
        <w:tc>
          <w:tcPr>
            <w:tcW w:w="1420" w:type="dxa"/>
            <w:tcBorders>
              <w:top w:val="single" w:color="auto" w:sz="4" w:space="0"/>
              <w:left w:val="single" w:color="auto" w:sz="4" w:space="0"/>
              <w:bottom w:val="single" w:color="auto" w:sz="4" w:space="0"/>
              <w:right w:val="single" w:color="auto" w:sz="4" w:space="0"/>
            </w:tcBorders>
            <w:vAlign w:val="center"/>
          </w:tcPr>
          <w:p w14:paraId="30E03788">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760" w:type="dxa"/>
            <w:tcBorders>
              <w:top w:val="single" w:color="auto" w:sz="4" w:space="0"/>
              <w:left w:val="single" w:color="auto" w:sz="4" w:space="0"/>
              <w:bottom w:val="single" w:color="auto" w:sz="4" w:space="0"/>
              <w:right w:val="single" w:color="auto" w:sz="4" w:space="0"/>
            </w:tcBorders>
            <w:vAlign w:val="center"/>
          </w:tcPr>
          <w:p w14:paraId="44271693">
            <w:pPr>
              <w:keepNext w:val="0"/>
              <w:keepLines w:val="0"/>
              <w:widowControl/>
              <w:suppressLineNumbers w:val="0"/>
              <w:jc w:val="center"/>
              <w:textAlignment w:val="center"/>
              <w:rPr>
                <w:rFonts w:ascii="宋体" w:hAnsi="宋体" w:eastAsia="宋体" w:cs="宋体"/>
                <w:color w:val="auto"/>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3407" w:type="dxa"/>
            <w:tcBorders>
              <w:top w:val="single" w:color="auto" w:sz="4" w:space="0"/>
              <w:left w:val="single" w:color="auto" w:sz="4" w:space="0"/>
              <w:bottom w:val="single" w:color="auto" w:sz="4" w:space="0"/>
              <w:right w:val="single" w:color="auto" w:sz="4" w:space="0"/>
            </w:tcBorders>
            <w:vAlign w:val="center"/>
          </w:tcPr>
          <w:p w14:paraId="7F2E13CF">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6B95C93">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18F1AC18">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10</w:t>
            </w:r>
          </w:p>
        </w:tc>
        <w:tc>
          <w:tcPr>
            <w:tcW w:w="1420" w:type="dxa"/>
            <w:tcBorders>
              <w:top w:val="single" w:color="auto" w:sz="4" w:space="0"/>
              <w:left w:val="single" w:color="auto" w:sz="4" w:space="0"/>
              <w:bottom w:val="single" w:color="auto" w:sz="4" w:space="0"/>
              <w:right w:val="single" w:color="auto" w:sz="4" w:space="0"/>
            </w:tcBorders>
            <w:vAlign w:val="center"/>
          </w:tcPr>
          <w:p w14:paraId="5883C2AB">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760" w:type="dxa"/>
            <w:tcBorders>
              <w:top w:val="single" w:color="auto" w:sz="4" w:space="0"/>
              <w:left w:val="single" w:color="auto" w:sz="4" w:space="0"/>
              <w:bottom w:val="single" w:color="auto" w:sz="4" w:space="0"/>
              <w:right w:val="single" w:color="auto" w:sz="4" w:space="0"/>
            </w:tcBorders>
            <w:vAlign w:val="center"/>
          </w:tcPr>
          <w:p w14:paraId="2323F933">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3407" w:type="dxa"/>
            <w:tcBorders>
              <w:top w:val="single" w:color="auto" w:sz="4" w:space="0"/>
              <w:left w:val="single" w:color="auto" w:sz="4" w:space="0"/>
              <w:bottom w:val="single" w:color="auto" w:sz="4" w:space="0"/>
              <w:right w:val="single" w:color="auto" w:sz="4" w:space="0"/>
            </w:tcBorders>
            <w:vAlign w:val="center"/>
          </w:tcPr>
          <w:p w14:paraId="061EBA36">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7F5505B">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BA5FF67">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11</w:t>
            </w:r>
          </w:p>
        </w:tc>
        <w:tc>
          <w:tcPr>
            <w:tcW w:w="1420" w:type="dxa"/>
            <w:tcBorders>
              <w:top w:val="single" w:color="auto" w:sz="4" w:space="0"/>
              <w:left w:val="single" w:color="auto" w:sz="4" w:space="0"/>
              <w:bottom w:val="single" w:color="auto" w:sz="4" w:space="0"/>
              <w:right w:val="single" w:color="auto" w:sz="4" w:space="0"/>
            </w:tcBorders>
            <w:vAlign w:val="center"/>
          </w:tcPr>
          <w:p w14:paraId="73CBE1B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760" w:type="dxa"/>
            <w:tcBorders>
              <w:top w:val="single" w:color="auto" w:sz="4" w:space="0"/>
              <w:left w:val="single" w:color="auto" w:sz="4" w:space="0"/>
              <w:bottom w:val="single" w:color="auto" w:sz="4" w:space="0"/>
              <w:right w:val="single" w:color="auto" w:sz="4" w:space="0"/>
            </w:tcBorders>
            <w:vAlign w:val="center"/>
          </w:tcPr>
          <w:p w14:paraId="3F955E8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3407" w:type="dxa"/>
            <w:tcBorders>
              <w:top w:val="single" w:color="auto" w:sz="4" w:space="0"/>
              <w:left w:val="single" w:color="auto" w:sz="4" w:space="0"/>
              <w:bottom w:val="single" w:color="auto" w:sz="4" w:space="0"/>
              <w:right w:val="single" w:color="auto" w:sz="4" w:space="0"/>
            </w:tcBorders>
            <w:vAlign w:val="center"/>
          </w:tcPr>
          <w:p w14:paraId="23FD678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D100A89">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E9CE7A2">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12</w:t>
            </w:r>
          </w:p>
        </w:tc>
        <w:tc>
          <w:tcPr>
            <w:tcW w:w="1420" w:type="dxa"/>
            <w:tcBorders>
              <w:top w:val="single" w:color="auto" w:sz="4" w:space="0"/>
              <w:left w:val="single" w:color="auto" w:sz="4" w:space="0"/>
              <w:bottom w:val="single" w:color="auto" w:sz="4" w:space="0"/>
              <w:right w:val="single" w:color="auto" w:sz="4" w:space="0"/>
            </w:tcBorders>
            <w:vAlign w:val="center"/>
          </w:tcPr>
          <w:p w14:paraId="7B9B90F3">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760" w:type="dxa"/>
            <w:tcBorders>
              <w:top w:val="single" w:color="auto" w:sz="4" w:space="0"/>
              <w:left w:val="single" w:color="auto" w:sz="4" w:space="0"/>
              <w:bottom w:val="single" w:color="auto" w:sz="4" w:space="0"/>
              <w:right w:val="single" w:color="auto" w:sz="4" w:space="0"/>
            </w:tcBorders>
            <w:vAlign w:val="center"/>
          </w:tcPr>
          <w:p w14:paraId="6E5433FC">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3407" w:type="dxa"/>
            <w:tcBorders>
              <w:top w:val="single" w:color="auto" w:sz="4" w:space="0"/>
              <w:left w:val="single" w:color="auto" w:sz="4" w:space="0"/>
              <w:bottom w:val="single" w:color="auto" w:sz="4" w:space="0"/>
              <w:right w:val="single" w:color="auto" w:sz="4" w:space="0"/>
            </w:tcBorders>
            <w:vAlign w:val="center"/>
          </w:tcPr>
          <w:p w14:paraId="751E161A">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5BE33F8B">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279C0E51">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13</w:t>
            </w:r>
          </w:p>
        </w:tc>
        <w:tc>
          <w:tcPr>
            <w:tcW w:w="1420" w:type="dxa"/>
            <w:tcBorders>
              <w:top w:val="single" w:color="auto" w:sz="4" w:space="0"/>
              <w:left w:val="single" w:color="auto" w:sz="4" w:space="0"/>
              <w:bottom w:val="single" w:color="auto" w:sz="4" w:space="0"/>
              <w:right w:val="single" w:color="auto" w:sz="4" w:space="0"/>
            </w:tcBorders>
            <w:vAlign w:val="center"/>
          </w:tcPr>
          <w:p w14:paraId="7B21490A">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760" w:type="dxa"/>
            <w:tcBorders>
              <w:top w:val="single" w:color="auto" w:sz="4" w:space="0"/>
              <w:left w:val="single" w:color="auto" w:sz="4" w:space="0"/>
              <w:bottom w:val="single" w:color="auto" w:sz="4" w:space="0"/>
              <w:right w:val="single" w:color="auto" w:sz="4" w:space="0"/>
            </w:tcBorders>
            <w:vAlign w:val="center"/>
          </w:tcPr>
          <w:p w14:paraId="55510196">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3407" w:type="dxa"/>
            <w:tcBorders>
              <w:top w:val="single" w:color="auto" w:sz="4" w:space="0"/>
              <w:left w:val="single" w:color="auto" w:sz="4" w:space="0"/>
              <w:bottom w:val="single" w:color="auto" w:sz="4" w:space="0"/>
              <w:right w:val="single" w:color="auto" w:sz="4" w:space="0"/>
            </w:tcBorders>
            <w:vAlign w:val="center"/>
          </w:tcPr>
          <w:p w14:paraId="40EA70E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7D3EE3EF">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1B91E8F6">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14</w:t>
            </w:r>
          </w:p>
        </w:tc>
        <w:tc>
          <w:tcPr>
            <w:tcW w:w="1420" w:type="dxa"/>
            <w:tcBorders>
              <w:top w:val="single" w:color="auto" w:sz="4" w:space="0"/>
              <w:left w:val="single" w:color="auto" w:sz="4" w:space="0"/>
              <w:bottom w:val="single" w:color="auto" w:sz="4" w:space="0"/>
              <w:right w:val="single" w:color="auto" w:sz="4" w:space="0"/>
            </w:tcBorders>
            <w:vAlign w:val="center"/>
          </w:tcPr>
          <w:p w14:paraId="4806F4C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760" w:type="dxa"/>
            <w:tcBorders>
              <w:top w:val="single" w:color="auto" w:sz="4" w:space="0"/>
              <w:left w:val="single" w:color="auto" w:sz="4" w:space="0"/>
              <w:bottom w:val="single" w:color="auto" w:sz="4" w:space="0"/>
              <w:right w:val="single" w:color="auto" w:sz="4" w:space="0"/>
            </w:tcBorders>
            <w:vAlign w:val="center"/>
          </w:tcPr>
          <w:p w14:paraId="2E7F61E5">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3407" w:type="dxa"/>
            <w:tcBorders>
              <w:top w:val="single" w:color="auto" w:sz="4" w:space="0"/>
              <w:left w:val="single" w:color="auto" w:sz="4" w:space="0"/>
              <w:bottom w:val="single" w:color="auto" w:sz="4" w:space="0"/>
              <w:right w:val="single" w:color="auto" w:sz="4" w:space="0"/>
            </w:tcBorders>
            <w:vAlign w:val="center"/>
          </w:tcPr>
          <w:p w14:paraId="0B265E0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16A845A">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957C203">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15</w:t>
            </w:r>
          </w:p>
        </w:tc>
        <w:tc>
          <w:tcPr>
            <w:tcW w:w="1420" w:type="dxa"/>
            <w:tcBorders>
              <w:top w:val="single" w:color="auto" w:sz="4" w:space="0"/>
              <w:left w:val="single" w:color="auto" w:sz="4" w:space="0"/>
              <w:bottom w:val="single" w:color="auto" w:sz="4" w:space="0"/>
              <w:right w:val="single" w:color="auto" w:sz="4" w:space="0"/>
            </w:tcBorders>
            <w:vAlign w:val="center"/>
          </w:tcPr>
          <w:p w14:paraId="7BE772B5">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760" w:type="dxa"/>
            <w:tcBorders>
              <w:top w:val="single" w:color="auto" w:sz="4" w:space="0"/>
              <w:left w:val="single" w:color="auto" w:sz="4" w:space="0"/>
              <w:bottom w:val="single" w:color="auto" w:sz="4" w:space="0"/>
              <w:right w:val="single" w:color="auto" w:sz="4" w:space="0"/>
            </w:tcBorders>
            <w:vAlign w:val="center"/>
          </w:tcPr>
          <w:p w14:paraId="45B747C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3407" w:type="dxa"/>
            <w:tcBorders>
              <w:top w:val="single" w:color="auto" w:sz="4" w:space="0"/>
              <w:left w:val="single" w:color="auto" w:sz="4" w:space="0"/>
              <w:bottom w:val="single" w:color="auto" w:sz="4" w:space="0"/>
              <w:right w:val="single" w:color="auto" w:sz="4" w:space="0"/>
            </w:tcBorders>
            <w:vAlign w:val="center"/>
          </w:tcPr>
          <w:p w14:paraId="10D03C0A">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551EA3C0">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423284A">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16</w:t>
            </w:r>
          </w:p>
        </w:tc>
        <w:tc>
          <w:tcPr>
            <w:tcW w:w="1420" w:type="dxa"/>
            <w:tcBorders>
              <w:top w:val="single" w:color="auto" w:sz="4" w:space="0"/>
              <w:left w:val="single" w:color="auto" w:sz="4" w:space="0"/>
              <w:bottom w:val="single" w:color="auto" w:sz="4" w:space="0"/>
              <w:right w:val="single" w:color="auto" w:sz="4" w:space="0"/>
            </w:tcBorders>
            <w:vAlign w:val="center"/>
          </w:tcPr>
          <w:p w14:paraId="36318544">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760" w:type="dxa"/>
            <w:tcBorders>
              <w:top w:val="single" w:color="auto" w:sz="4" w:space="0"/>
              <w:left w:val="single" w:color="auto" w:sz="4" w:space="0"/>
              <w:bottom w:val="single" w:color="auto" w:sz="4" w:space="0"/>
              <w:right w:val="single" w:color="auto" w:sz="4" w:space="0"/>
            </w:tcBorders>
            <w:vAlign w:val="center"/>
          </w:tcPr>
          <w:p w14:paraId="56BCDBB2">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3407" w:type="dxa"/>
            <w:tcBorders>
              <w:top w:val="single" w:color="auto" w:sz="4" w:space="0"/>
              <w:left w:val="single" w:color="auto" w:sz="4" w:space="0"/>
              <w:bottom w:val="single" w:color="auto" w:sz="4" w:space="0"/>
              <w:right w:val="single" w:color="auto" w:sz="4" w:space="0"/>
            </w:tcBorders>
            <w:vAlign w:val="center"/>
          </w:tcPr>
          <w:p w14:paraId="20216398">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166D0D4E">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023493A">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17</w:t>
            </w:r>
          </w:p>
        </w:tc>
        <w:tc>
          <w:tcPr>
            <w:tcW w:w="1420" w:type="dxa"/>
            <w:tcBorders>
              <w:top w:val="single" w:color="auto" w:sz="4" w:space="0"/>
              <w:left w:val="single" w:color="auto" w:sz="4" w:space="0"/>
              <w:bottom w:val="single" w:color="auto" w:sz="4" w:space="0"/>
              <w:right w:val="single" w:color="auto" w:sz="4" w:space="0"/>
            </w:tcBorders>
            <w:vAlign w:val="center"/>
          </w:tcPr>
          <w:p w14:paraId="55307188">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760" w:type="dxa"/>
            <w:tcBorders>
              <w:top w:val="single" w:color="auto" w:sz="4" w:space="0"/>
              <w:left w:val="single" w:color="auto" w:sz="4" w:space="0"/>
              <w:bottom w:val="single" w:color="auto" w:sz="4" w:space="0"/>
              <w:right w:val="single" w:color="auto" w:sz="4" w:space="0"/>
            </w:tcBorders>
            <w:vAlign w:val="center"/>
          </w:tcPr>
          <w:p w14:paraId="13AC4296">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3407" w:type="dxa"/>
            <w:tcBorders>
              <w:top w:val="single" w:color="auto" w:sz="4" w:space="0"/>
              <w:left w:val="single" w:color="auto" w:sz="4" w:space="0"/>
              <w:bottom w:val="single" w:color="auto" w:sz="4" w:space="0"/>
              <w:right w:val="single" w:color="auto" w:sz="4" w:space="0"/>
            </w:tcBorders>
            <w:vAlign w:val="center"/>
          </w:tcPr>
          <w:p w14:paraId="5A15843B">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56C8398E">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D992E0D">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18</w:t>
            </w:r>
          </w:p>
        </w:tc>
        <w:tc>
          <w:tcPr>
            <w:tcW w:w="1420" w:type="dxa"/>
            <w:tcBorders>
              <w:top w:val="single" w:color="auto" w:sz="4" w:space="0"/>
              <w:left w:val="single" w:color="auto" w:sz="4" w:space="0"/>
              <w:bottom w:val="single" w:color="auto" w:sz="4" w:space="0"/>
              <w:right w:val="single" w:color="auto" w:sz="4" w:space="0"/>
            </w:tcBorders>
            <w:vAlign w:val="center"/>
          </w:tcPr>
          <w:p w14:paraId="5D0D149D">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760" w:type="dxa"/>
            <w:tcBorders>
              <w:top w:val="single" w:color="auto" w:sz="4" w:space="0"/>
              <w:left w:val="single" w:color="auto" w:sz="4" w:space="0"/>
              <w:bottom w:val="single" w:color="auto" w:sz="4" w:space="0"/>
              <w:right w:val="single" w:color="auto" w:sz="4" w:space="0"/>
            </w:tcBorders>
            <w:vAlign w:val="center"/>
          </w:tcPr>
          <w:p w14:paraId="69F503C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3407" w:type="dxa"/>
            <w:tcBorders>
              <w:top w:val="single" w:color="auto" w:sz="4" w:space="0"/>
              <w:left w:val="single" w:color="auto" w:sz="4" w:space="0"/>
              <w:bottom w:val="single" w:color="auto" w:sz="4" w:space="0"/>
              <w:right w:val="single" w:color="auto" w:sz="4" w:space="0"/>
            </w:tcBorders>
            <w:vAlign w:val="center"/>
          </w:tcPr>
          <w:p w14:paraId="00F22CF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63CD8A5C">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2242E511">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19</w:t>
            </w:r>
          </w:p>
        </w:tc>
        <w:tc>
          <w:tcPr>
            <w:tcW w:w="1420" w:type="dxa"/>
            <w:tcBorders>
              <w:top w:val="single" w:color="auto" w:sz="4" w:space="0"/>
              <w:left w:val="single" w:color="auto" w:sz="4" w:space="0"/>
              <w:bottom w:val="single" w:color="auto" w:sz="4" w:space="0"/>
              <w:right w:val="single" w:color="auto" w:sz="4" w:space="0"/>
            </w:tcBorders>
            <w:vAlign w:val="center"/>
          </w:tcPr>
          <w:p w14:paraId="545CF26D">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760" w:type="dxa"/>
            <w:tcBorders>
              <w:top w:val="single" w:color="auto" w:sz="4" w:space="0"/>
              <w:left w:val="single" w:color="auto" w:sz="4" w:space="0"/>
              <w:bottom w:val="single" w:color="auto" w:sz="4" w:space="0"/>
              <w:right w:val="single" w:color="auto" w:sz="4" w:space="0"/>
            </w:tcBorders>
            <w:vAlign w:val="center"/>
          </w:tcPr>
          <w:p w14:paraId="7B49688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3407" w:type="dxa"/>
            <w:tcBorders>
              <w:top w:val="single" w:color="auto" w:sz="4" w:space="0"/>
              <w:left w:val="single" w:color="auto" w:sz="4" w:space="0"/>
              <w:bottom w:val="single" w:color="auto" w:sz="4" w:space="0"/>
              <w:right w:val="single" w:color="auto" w:sz="4" w:space="0"/>
            </w:tcBorders>
            <w:vAlign w:val="center"/>
          </w:tcPr>
          <w:p w14:paraId="7BAF1010">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2EBE1F6">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2805716A">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20</w:t>
            </w:r>
          </w:p>
        </w:tc>
        <w:tc>
          <w:tcPr>
            <w:tcW w:w="1420" w:type="dxa"/>
            <w:tcBorders>
              <w:top w:val="single" w:color="auto" w:sz="4" w:space="0"/>
              <w:left w:val="single" w:color="auto" w:sz="4" w:space="0"/>
              <w:bottom w:val="single" w:color="auto" w:sz="4" w:space="0"/>
              <w:right w:val="single" w:color="auto" w:sz="4" w:space="0"/>
            </w:tcBorders>
            <w:vAlign w:val="center"/>
          </w:tcPr>
          <w:p w14:paraId="0D20F54E">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760" w:type="dxa"/>
            <w:tcBorders>
              <w:top w:val="single" w:color="auto" w:sz="4" w:space="0"/>
              <w:left w:val="single" w:color="auto" w:sz="4" w:space="0"/>
              <w:bottom w:val="single" w:color="auto" w:sz="4" w:space="0"/>
              <w:right w:val="single" w:color="auto" w:sz="4" w:space="0"/>
            </w:tcBorders>
            <w:vAlign w:val="center"/>
          </w:tcPr>
          <w:p w14:paraId="2FC71419">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3407" w:type="dxa"/>
            <w:tcBorders>
              <w:top w:val="single" w:color="auto" w:sz="4" w:space="0"/>
              <w:left w:val="single" w:color="auto" w:sz="4" w:space="0"/>
              <w:bottom w:val="single" w:color="auto" w:sz="4" w:space="0"/>
              <w:right w:val="single" w:color="auto" w:sz="4" w:space="0"/>
            </w:tcBorders>
            <w:vAlign w:val="center"/>
          </w:tcPr>
          <w:p w14:paraId="0DA2DD73">
            <w:pPr>
              <w:keepNext w:val="0"/>
              <w:keepLines w:val="0"/>
              <w:widowControl/>
              <w:suppressLineNumbers w:val="0"/>
              <w:jc w:val="center"/>
              <w:textAlignment w:val="center"/>
              <w:rPr>
                <w:rFonts w:ascii="宋体" w:hAnsi="宋体" w:eastAsia="宋体" w:cs="宋体"/>
                <w:color w:val="auto"/>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w:t>
            </w:r>
          </w:p>
        </w:tc>
      </w:tr>
      <w:tr w14:paraId="214C2AB8">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915C51A">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21</w:t>
            </w:r>
          </w:p>
        </w:tc>
        <w:tc>
          <w:tcPr>
            <w:tcW w:w="1420" w:type="dxa"/>
            <w:tcBorders>
              <w:top w:val="single" w:color="auto" w:sz="4" w:space="0"/>
              <w:left w:val="single" w:color="auto" w:sz="4" w:space="0"/>
              <w:bottom w:val="single" w:color="auto" w:sz="4" w:space="0"/>
              <w:right w:val="single" w:color="auto" w:sz="4" w:space="0"/>
            </w:tcBorders>
            <w:vAlign w:val="center"/>
          </w:tcPr>
          <w:p w14:paraId="19DDE0C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760" w:type="dxa"/>
            <w:tcBorders>
              <w:top w:val="single" w:color="auto" w:sz="4" w:space="0"/>
              <w:left w:val="single" w:color="auto" w:sz="4" w:space="0"/>
              <w:bottom w:val="single" w:color="auto" w:sz="4" w:space="0"/>
              <w:right w:val="single" w:color="auto" w:sz="4" w:space="0"/>
            </w:tcBorders>
            <w:vAlign w:val="center"/>
          </w:tcPr>
          <w:p w14:paraId="2CD21610">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3407" w:type="dxa"/>
            <w:tcBorders>
              <w:top w:val="single" w:color="auto" w:sz="4" w:space="0"/>
              <w:left w:val="single" w:color="auto" w:sz="4" w:space="0"/>
              <w:bottom w:val="single" w:color="auto" w:sz="4" w:space="0"/>
              <w:right w:val="single" w:color="auto" w:sz="4" w:space="0"/>
            </w:tcBorders>
            <w:vAlign w:val="center"/>
          </w:tcPr>
          <w:p w14:paraId="64357B93">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w:t>
            </w:r>
          </w:p>
        </w:tc>
      </w:tr>
      <w:tr w14:paraId="248CD84A">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36256FBC">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22</w:t>
            </w:r>
          </w:p>
        </w:tc>
        <w:tc>
          <w:tcPr>
            <w:tcW w:w="1420" w:type="dxa"/>
            <w:tcBorders>
              <w:top w:val="single" w:color="auto" w:sz="4" w:space="0"/>
              <w:left w:val="single" w:color="auto" w:sz="4" w:space="0"/>
              <w:bottom w:val="single" w:color="auto" w:sz="4" w:space="0"/>
              <w:right w:val="single" w:color="auto" w:sz="4" w:space="0"/>
            </w:tcBorders>
            <w:vAlign w:val="center"/>
          </w:tcPr>
          <w:p w14:paraId="791191A4">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760" w:type="dxa"/>
            <w:tcBorders>
              <w:top w:val="single" w:color="auto" w:sz="4" w:space="0"/>
              <w:left w:val="single" w:color="auto" w:sz="4" w:space="0"/>
              <w:bottom w:val="single" w:color="auto" w:sz="4" w:space="0"/>
              <w:right w:val="single" w:color="auto" w:sz="4" w:space="0"/>
            </w:tcBorders>
            <w:vAlign w:val="center"/>
          </w:tcPr>
          <w:p w14:paraId="0A77BD7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3407" w:type="dxa"/>
            <w:tcBorders>
              <w:top w:val="single" w:color="auto" w:sz="4" w:space="0"/>
              <w:left w:val="single" w:color="auto" w:sz="4" w:space="0"/>
              <w:bottom w:val="single" w:color="auto" w:sz="4" w:space="0"/>
              <w:right w:val="single" w:color="auto" w:sz="4" w:space="0"/>
            </w:tcBorders>
            <w:vAlign w:val="center"/>
          </w:tcPr>
          <w:p w14:paraId="5FD46B0A">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3C387F3F">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7FB1B692">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23</w:t>
            </w:r>
          </w:p>
        </w:tc>
        <w:tc>
          <w:tcPr>
            <w:tcW w:w="1420" w:type="dxa"/>
            <w:tcBorders>
              <w:top w:val="single" w:color="auto" w:sz="4" w:space="0"/>
              <w:left w:val="single" w:color="auto" w:sz="4" w:space="0"/>
              <w:bottom w:val="single" w:color="auto" w:sz="4" w:space="0"/>
              <w:right w:val="single" w:color="auto" w:sz="4" w:space="0"/>
            </w:tcBorders>
            <w:vAlign w:val="center"/>
          </w:tcPr>
          <w:p w14:paraId="4E830EE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760" w:type="dxa"/>
            <w:tcBorders>
              <w:top w:val="single" w:color="auto" w:sz="4" w:space="0"/>
              <w:left w:val="single" w:color="auto" w:sz="4" w:space="0"/>
              <w:bottom w:val="single" w:color="auto" w:sz="4" w:space="0"/>
              <w:right w:val="single" w:color="auto" w:sz="4" w:space="0"/>
            </w:tcBorders>
            <w:vAlign w:val="center"/>
          </w:tcPr>
          <w:p w14:paraId="3028CBB1">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3407" w:type="dxa"/>
            <w:tcBorders>
              <w:top w:val="single" w:color="auto" w:sz="4" w:space="0"/>
              <w:left w:val="single" w:color="auto" w:sz="4" w:space="0"/>
              <w:bottom w:val="single" w:color="auto" w:sz="4" w:space="0"/>
              <w:right w:val="single" w:color="auto" w:sz="4" w:space="0"/>
            </w:tcBorders>
            <w:vAlign w:val="center"/>
          </w:tcPr>
          <w:p w14:paraId="7837D09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0C0BF075">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518D3EAE">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24</w:t>
            </w:r>
          </w:p>
        </w:tc>
        <w:tc>
          <w:tcPr>
            <w:tcW w:w="1420" w:type="dxa"/>
            <w:tcBorders>
              <w:top w:val="single" w:color="auto" w:sz="4" w:space="0"/>
              <w:left w:val="single" w:color="auto" w:sz="4" w:space="0"/>
              <w:bottom w:val="single" w:color="auto" w:sz="4" w:space="0"/>
              <w:right w:val="single" w:color="auto" w:sz="4" w:space="0"/>
            </w:tcBorders>
            <w:vAlign w:val="center"/>
          </w:tcPr>
          <w:p w14:paraId="1B6DDBED">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760" w:type="dxa"/>
            <w:tcBorders>
              <w:top w:val="single" w:color="auto" w:sz="4" w:space="0"/>
              <w:left w:val="single" w:color="auto" w:sz="4" w:space="0"/>
              <w:bottom w:val="single" w:color="auto" w:sz="4" w:space="0"/>
              <w:right w:val="single" w:color="auto" w:sz="4" w:space="0"/>
            </w:tcBorders>
            <w:vAlign w:val="center"/>
          </w:tcPr>
          <w:p w14:paraId="3198A907">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3407" w:type="dxa"/>
            <w:tcBorders>
              <w:top w:val="single" w:color="auto" w:sz="4" w:space="0"/>
              <w:left w:val="single" w:color="auto" w:sz="4" w:space="0"/>
              <w:bottom w:val="single" w:color="auto" w:sz="4" w:space="0"/>
              <w:right w:val="single" w:color="auto" w:sz="4" w:space="0"/>
            </w:tcBorders>
            <w:vAlign w:val="center"/>
          </w:tcPr>
          <w:p w14:paraId="5206C712">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r w14:paraId="2510061C">
        <w:tblPrEx>
          <w:tblCellMar>
            <w:top w:w="0" w:type="dxa"/>
            <w:left w:w="108" w:type="dxa"/>
            <w:bottom w:w="0" w:type="dxa"/>
            <w:right w:w="108" w:type="dxa"/>
          </w:tblCellMar>
        </w:tblPrEx>
        <w:trPr>
          <w:trHeight w:val="454"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14:paraId="4F80ECCA">
            <w:pPr>
              <w:jc w:val="center"/>
              <w:textAlignment w:val="center"/>
              <w:rPr>
                <w:rFonts w:ascii="宋体" w:hAnsi="宋体" w:eastAsia="宋体" w:cs="宋体"/>
                <w:color w:val="auto"/>
                <w:highlight w:val="none"/>
                <w:lang w:bidi="ar"/>
              </w:rPr>
            </w:pPr>
            <w:r>
              <w:rPr>
                <w:rFonts w:hint="eastAsia" w:ascii="宋体" w:hAnsi="宋体" w:eastAsia="宋体" w:cs="宋体"/>
                <w:color w:val="auto"/>
                <w:highlight w:val="none"/>
                <w:lang w:bidi="ar"/>
              </w:rPr>
              <w:t>25</w:t>
            </w:r>
          </w:p>
        </w:tc>
        <w:tc>
          <w:tcPr>
            <w:tcW w:w="1420" w:type="dxa"/>
            <w:tcBorders>
              <w:top w:val="single" w:color="auto" w:sz="4" w:space="0"/>
              <w:left w:val="single" w:color="auto" w:sz="4" w:space="0"/>
              <w:bottom w:val="single" w:color="auto" w:sz="4" w:space="0"/>
              <w:right w:val="single" w:color="auto" w:sz="4" w:space="0"/>
            </w:tcBorders>
            <w:vAlign w:val="center"/>
          </w:tcPr>
          <w:p w14:paraId="7A588A29">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760" w:type="dxa"/>
            <w:tcBorders>
              <w:top w:val="single" w:color="auto" w:sz="4" w:space="0"/>
              <w:left w:val="single" w:color="auto" w:sz="4" w:space="0"/>
              <w:bottom w:val="single" w:color="auto" w:sz="4" w:space="0"/>
              <w:right w:val="single" w:color="auto" w:sz="4" w:space="0"/>
            </w:tcBorders>
            <w:vAlign w:val="center"/>
          </w:tcPr>
          <w:p w14:paraId="3558B13D">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3407" w:type="dxa"/>
            <w:tcBorders>
              <w:top w:val="single" w:color="auto" w:sz="4" w:space="0"/>
              <w:left w:val="single" w:color="auto" w:sz="4" w:space="0"/>
              <w:bottom w:val="single" w:color="auto" w:sz="4" w:space="0"/>
              <w:right w:val="single" w:color="auto" w:sz="4" w:space="0"/>
            </w:tcBorders>
            <w:vAlign w:val="center"/>
          </w:tcPr>
          <w:p w14:paraId="12C8C144">
            <w:pPr>
              <w:keepNext w:val="0"/>
              <w:keepLines w:val="0"/>
              <w:widowControl/>
              <w:suppressLineNumbers w:val="0"/>
              <w:jc w:val="center"/>
              <w:textAlignment w:val="center"/>
              <w:rPr>
                <w:rFonts w:ascii="宋体" w:hAnsi="宋体" w:eastAsia="宋体" w:cs="宋体"/>
                <w:color w:val="auto"/>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w:t>
            </w:r>
          </w:p>
        </w:tc>
      </w:tr>
    </w:tbl>
    <w:p w14:paraId="3AFD9451">
      <w:pPr>
        <w:rPr>
          <w:highlight w:val="none"/>
          <w:lang w:eastAsia="zh-CN"/>
        </w:rPr>
      </w:pPr>
      <w:r>
        <w:rPr>
          <w:highlight w:val="none"/>
          <w:lang w:eastAsia="zh-CN"/>
        </w:rPr>
        <w:br w:type="page"/>
      </w:r>
    </w:p>
    <w:p w14:paraId="2969BA63">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附表7</w:t>
      </w:r>
    </w:p>
    <w:p w14:paraId="24DB9EFB">
      <w:pPr>
        <w:pStyle w:val="2"/>
        <w:rPr>
          <w:rFonts w:ascii="宋体" w:hAnsi="宋体" w:eastAsia="宋体" w:cs="宋体"/>
          <w:bCs/>
          <w:spacing w:val="9"/>
          <w:kern w:val="0"/>
          <w:sz w:val="28"/>
          <w:szCs w:val="28"/>
          <w:highlight w:val="none"/>
          <w:lang w:eastAsia="zh-CN"/>
        </w:rPr>
      </w:pPr>
      <w:bookmarkStart w:id="104" w:name="_Toc23724"/>
      <w:bookmarkStart w:id="105" w:name="_Toc326"/>
      <w:bookmarkStart w:id="106" w:name="_Toc19386"/>
      <w:bookmarkStart w:id="107" w:name="_Toc29511"/>
      <w:r>
        <w:rPr>
          <w:rFonts w:hint="eastAsia" w:ascii="宋体" w:hAnsi="宋体" w:eastAsia="宋体" w:cs="宋体"/>
          <w:bCs/>
          <w:spacing w:val="9"/>
          <w:kern w:val="0"/>
          <w:sz w:val="28"/>
          <w:szCs w:val="28"/>
          <w:highlight w:val="none"/>
          <w:lang w:eastAsia="zh-CN"/>
        </w:rPr>
        <w:t>各专业实习基地情况一览表</w:t>
      </w:r>
      <w:bookmarkEnd w:id="104"/>
      <w:bookmarkEnd w:id="105"/>
      <w:bookmarkEnd w:id="106"/>
      <w:bookmarkEnd w:id="107"/>
    </w:p>
    <w:p w14:paraId="6160DE84">
      <w:pPr>
        <w:ind w:right="-415"/>
        <w:jc w:val="both"/>
        <w:rPr>
          <w:sz w:val="20"/>
          <w:szCs w:val="20"/>
          <w:highlight w:val="none"/>
          <w:lang w:eastAsia="zh-CN"/>
        </w:rPr>
      </w:pPr>
    </w:p>
    <w:tbl>
      <w:tblPr>
        <w:tblStyle w:val="19"/>
        <w:tblW w:w="9439" w:type="dxa"/>
        <w:tblInd w:w="91" w:type="dxa"/>
        <w:tblLayout w:type="fixed"/>
        <w:tblCellMar>
          <w:top w:w="0" w:type="dxa"/>
          <w:left w:w="108" w:type="dxa"/>
          <w:bottom w:w="0" w:type="dxa"/>
          <w:right w:w="108" w:type="dxa"/>
        </w:tblCellMar>
      </w:tblPr>
      <w:tblGrid>
        <w:gridCol w:w="1520"/>
        <w:gridCol w:w="1900"/>
        <w:gridCol w:w="2760"/>
        <w:gridCol w:w="3259"/>
      </w:tblGrid>
      <w:tr w14:paraId="065267BA">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nil"/>
              <w:right w:val="single" w:color="auto" w:sz="4" w:space="0"/>
            </w:tcBorders>
            <w:vAlign w:val="center"/>
          </w:tcPr>
          <w:p w14:paraId="3AD609DF">
            <w:pPr>
              <w:jc w:val="center"/>
              <w:textAlignment w:val="center"/>
              <w:rPr>
                <w:rFonts w:ascii="宋体" w:hAnsi="宋体" w:eastAsia="宋体" w:cs="宋体"/>
                <w:b/>
                <w:highlight w:val="none"/>
                <w:lang w:bidi="ar"/>
              </w:rPr>
            </w:pPr>
            <w:r>
              <w:rPr>
                <w:rFonts w:hint="eastAsia" w:ascii="宋体" w:hAnsi="宋体" w:eastAsia="宋体" w:cs="宋体"/>
                <w:b/>
                <w:highlight w:val="none"/>
                <w:lang w:bidi="ar"/>
              </w:rPr>
              <w:t>序号</w:t>
            </w:r>
          </w:p>
        </w:tc>
        <w:tc>
          <w:tcPr>
            <w:tcW w:w="1900" w:type="dxa"/>
            <w:tcBorders>
              <w:top w:val="single" w:color="auto" w:sz="4" w:space="0"/>
              <w:left w:val="nil"/>
              <w:bottom w:val="nil"/>
              <w:right w:val="single" w:color="auto" w:sz="4" w:space="0"/>
            </w:tcBorders>
            <w:vAlign w:val="center"/>
          </w:tcPr>
          <w:p w14:paraId="18B695D7">
            <w:pPr>
              <w:jc w:val="center"/>
              <w:textAlignment w:val="center"/>
              <w:rPr>
                <w:rFonts w:ascii="宋体" w:hAnsi="宋体" w:eastAsia="宋体" w:cs="宋体"/>
                <w:b/>
                <w:highlight w:val="none"/>
                <w:lang w:bidi="ar"/>
              </w:rPr>
            </w:pPr>
            <w:r>
              <w:rPr>
                <w:rFonts w:hint="eastAsia" w:ascii="宋体" w:hAnsi="宋体" w:eastAsia="宋体" w:cs="宋体"/>
                <w:b/>
                <w:highlight w:val="none"/>
                <w:lang w:bidi="ar"/>
              </w:rPr>
              <w:t>校内专业代码</w:t>
            </w:r>
          </w:p>
        </w:tc>
        <w:tc>
          <w:tcPr>
            <w:tcW w:w="2760" w:type="dxa"/>
            <w:tcBorders>
              <w:top w:val="single" w:color="auto" w:sz="4" w:space="0"/>
              <w:left w:val="nil"/>
              <w:bottom w:val="nil"/>
              <w:right w:val="single" w:color="auto" w:sz="4" w:space="0"/>
            </w:tcBorders>
            <w:vAlign w:val="center"/>
          </w:tcPr>
          <w:p w14:paraId="31C84721">
            <w:pPr>
              <w:jc w:val="center"/>
              <w:textAlignment w:val="center"/>
              <w:rPr>
                <w:rFonts w:ascii="宋体" w:hAnsi="宋体" w:eastAsia="宋体" w:cs="宋体"/>
                <w:b/>
                <w:highlight w:val="none"/>
                <w:lang w:bidi="ar"/>
              </w:rPr>
            </w:pPr>
            <w:r>
              <w:rPr>
                <w:rFonts w:hint="eastAsia" w:ascii="宋体" w:hAnsi="宋体" w:eastAsia="宋体" w:cs="宋体"/>
                <w:b/>
                <w:highlight w:val="none"/>
                <w:lang w:bidi="ar"/>
              </w:rPr>
              <w:t>校内专业名称</w:t>
            </w:r>
          </w:p>
        </w:tc>
        <w:tc>
          <w:tcPr>
            <w:tcW w:w="3259" w:type="dxa"/>
            <w:tcBorders>
              <w:top w:val="single" w:color="auto" w:sz="4" w:space="0"/>
              <w:left w:val="nil"/>
              <w:bottom w:val="nil"/>
              <w:right w:val="single" w:color="auto" w:sz="4" w:space="0"/>
            </w:tcBorders>
            <w:vAlign w:val="center"/>
          </w:tcPr>
          <w:p w14:paraId="4D30FED2">
            <w:pPr>
              <w:jc w:val="center"/>
              <w:textAlignment w:val="center"/>
              <w:rPr>
                <w:rFonts w:ascii="宋体" w:hAnsi="宋体" w:eastAsia="宋体" w:cs="宋体"/>
                <w:b/>
                <w:highlight w:val="none"/>
                <w:lang w:eastAsia="zh-CN" w:bidi="ar"/>
              </w:rPr>
            </w:pPr>
            <w:r>
              <w:rPr>
                <w:rFonts w:hint="eastAsia" w:ascii="宋体" w:hAnsi="宋体" w:eastAsia="宋体" w:cs="宋体"/>
                <w:b/>
                <w:highlight w:val="none"/>
                <w:lang w:eastAsia="zh-CN" w:bidi="ar"/>
              </w:rPr>
              <w:t>实践教学及实习实训基地数量</w:t>
            </w:r>
          </w:p>
        </w:tc>
      </w:tr>
      <w:tr w14:paraId="788BC3FB">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38C5C733">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900" w:type="dxa"/>
            <w:tcBorders>
              <w:top w:val="single" w:color="auto" w:sz="4" w:space="0"/>
              <w:left w:val="nil"/>
              <w:bottom w:val="single" w:color="auto" w:sz="4" w:space="0"/>
              <w:right w:val="single" w:color="auto" w:sz="4" w:space="0"/>
            </w:tcBorders>
            <w:vAlign w:val="center"/>
          </w:tcPr>
          <w:p w14:paraId="5B5FFBD2">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760" w:type="dxa"/>
            <w:tcBorders>
              <w:top w:val="single" w:color="auto" w:sz="4" w:space="0"/>
              <w:left w:val="nil"/>
              <w:bottom w:val="single" w:color="auto" w:sz="4" w:space="0"/>
              <w:right w:val="single" w:color="auto" w:sz="4" w:space="0"/>
            </w:tcBorders>
            <w:vAlign w:val="center"/>
          </w:tcPr>
          <w:p w14:paraId="39B1922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3259" w:type="dxa"/>
            <w:tcBorders>
              <w:top w:val="single" w:color="auto" w:sz="4" w:space="0"/>
              <w:left w:val="nil"/>
              <w:bottom w:val="single" w:color="auto" w:sz="4" w:space="0"/>
              <w:right w:val="single" w:color="auto" w:sz="4" w:space="0"/>
            </w:tcBorders>
            <w:vAlign w:val="center"/>
          </w:tcPr>
          <w:p w14:paraId="53C9BE3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6</w:t>
            </w:r>
          </w:p>
        </w:tc>
      </w:tr>
      <w:tr w14:paraId="2D83D4E7">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592CFBCD">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900" w:type="dxa"/>
            <w:tcBorders>
              <w:top w:val="nil"/>
              <w:left w:val="nil"/>
              <w:bottom w:val="single" w:color="auto" w:sz="4" w:space="0"/>
              <w:right w:val="single" w:color="auto" w:sz="4" w:space="0"/>
            </w:tcBorders>
            <w:vAlign w:val="center"/>
          </w:tcPr>
          <w:p w14:paraId="0A5B196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760" w:type="dxa"/>
            <w:tcBorders>
              <w:top w:val="nil"/>
              <w:left w:val="nil"/>
              <w:bottom w:val="single" w:color="auto" w:sz="4" w:space="0"/>
              <w:right w:val="single" w:color="auto" w:sz="4" w:space="0"/>
            </w:tcBorders>
            <w:vAlign w:val="center"/>
          </w:tcPr>
          <w:p w14:paraId="3F3E2FCC">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3259" w:type="dxa"/>
            <w:tcBorders>
              <w:top w:val="nil"/>
              <w:left w:val="nil"/>
              <w:bottom w:val="single" w:color="auto" w:sz="4" w:space="0"/>
              <w:right w:val="single" w:color="auto" w:sz="4" w:space="0"/>
            </w:tcBorders>
            <w:vAlign w:val="center"/>
          </w:tcPr>
          <w:p w14:paraId="0C862B3F">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w:t>
            </w:r>
          </w:p>
        </w:tc>
      </w:tr>
      <w:tr w14:paraId="1329770D">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6B0CAA6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900" w:type="dxa"/>
            <w:tcBorders>
              <w:top w:val="nil"/>
              <w:left w:val="nil"/>
              <w:bottom w:val="single" w:color="auto" w:sz="4" w:space="0"/>
              <w:right w:val="single" w:color="auto" w:sz="4" w:space="0"/>
            </w:tcBorders>
            <w:vAlign w:val="center"/>
          </w:tcPr>
          <w:p w14:paraId="22ECC126">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760" w:type="dxa"/>
            <w:tcBorders>
              <w:top w:val="nil"/>
              <w:left w:val="nil"/>
              <w:bottom w:val="single" w:color="auto" w:sz="4" w:space="0"/>
              <w:right w:val="single" w:color="auto" w:sz="4" w:space="0"/>
            </w:tcBorders>
            <w:vAlign w:val="center"/>
          </w:tcPr>
          <w:p w14:paraId="2111908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3259" w:type="dxa"/>
            <w:tcBorders>
              <w:top w:val="nil"/>
              <w:left w:val="nil"/>
              <w:bottom w:val="single" w:color="auto" w:sz="4" w:space="0"/>
              <w:right w:val="single" w:color="auto" w:sz="4" w:space="0"/>
            </w:tcBorders>
            <w:vAlign w:val="center"/>
          </w:tcPr>
          <w:p w14:paraId="2522D5BA">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6</w:t>
            </w:r>
          </w:p>
        </w:tc>
      </w:tr>
      <w:tr w14:paraId="3403A6DF">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09A4F826">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900" w:type="dxa"/>
            <w:tcBorders>
              <w:top w:val="nil"/>
              <w:left w:val="nil"/>
              <w:bottom w:val="single" w:color="auto" w:sz="4" w:space="0"/>
              <w:right w:val="single" w:color="auto" w:sz="4" w:space="0"/>
            </w:tcBorders>
            <w:vAlign w:val="center"/>
          </w:tcPr>
          <w:p w14:paraId="6546DB5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760" w:type="dxa"/>
            <w:tcBorders>
              <w:top w:val="nil"/>
              <w:left w:val="nil"/>
              <w:bottom w:val="single" w:color="auto" w:sz="4" w:space="0"/>
              <w:right w:val="single" w:color="auto" w:sz="4" w:space="0"/>
            </w:tcBorders>
            <w:vAlign w:val="center"/>
          </w:tcPr>
          <w:p w14:paraId="56F6CB7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3259" w:type="dxa"/>
            <w:tcBorders>
              <w:top w:val="nil"/>
              <w:left w:val="nil"/>
              <w:bottom w:val="single" w:color="auto" w:sz="4" w:space="0"/>
              <w:right w:val="single" w:color="auto" w:sz="4" w:space="0"/>
            </w:tcBorders>
            <w:vAlign w:val="center"/>
          </w:tcPr>
          <w:p w14:paraId="753C4BF0">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r>
      <w:tr w14:paraId="1143D7E4">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1C1A555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900" w:type="dxa"/>
            <w:tcBorders>
              <w:top w:val="nil"/>
              <w:left w:val="nil"/>
              <w:bottom w:val="single" w:color="auto" w:sz="4" w:space="0"/>
              <w:right w:val="single" w:color="auto" w:sz="4" w:space="0"/>
            </w:tcBorders>
            <w:vAlign w:val="center"/>
          </w:tcPr>
          <w:p w14:paraId="345C3AD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760" w:type="dxa"/>
            <w:tcBorders>
              <w:top w:val="nil"/>
              <w:left w:val="nil"/>
              <w:bottom w:val="single" w:color="auto" w:sz="4" w:space="0"/>
              <w:right w:val="single" w:color="auto" w:sz="4" w:space="0"/>
            </w:tcBorders>
            <w:vAlign w:val="center"/>
          </w:tcPr>
          <w:p w14:paraId="4715962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3259" w:type="dxa"/>
            <w:tcBorders>
              <w:top w:val="nil"/>
              <w:left w:val="nil"/>
              <w:bottom w:val="single" w:color="auto" w:sz="4" w:space="0"/>
              <w:right w:val="single" w:color="auto" w:sz="4" w:space="0"/>
            </w:tcBorders>
            <w:vAlign w:val="center"/>
          </w:tcPr>
          <w:p w14:paraId="71BAA982">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r>
      <w:tr w14:paraId="3A0DF557">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748D006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900" w:type="dxa"/>
            <w:tcBorders>
              <w:top w:val="nil"/>
              <w:left w:val="nil"/>
              <w:bottom w:val="single" w:color="auto" w:sz="4" w:space="0"/>
              <w:right w:val="single" w:color="auto" w:sz="4" w:space="0"/>
            </w:tcBorders>
            <w:vAlign w:val="center"/>
          </w:tcPr>
          <w:p w14:paraId="331DEF0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760" w:type="dxa"/>
            <w:tcBorders>
              <w:top w:val="nil"/>
              <w:left w:val="nil"/>
              <w:bottom w:val="single" w:color="auto" w:sz="4" w:space="0"/>
              <w:right w:val="single" w:color="auto" w:sz="4" w:space="0"/>
            </w:tcBorders>
            <w:vAlign w:val="center"/>
          </w:tcPr>
          <w:p w14:paraId="5747BFF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3259" w:type="dxa"/>
            <w:tcBorders>
              <w:top w:val="nil"/>
              <w:left w:val="nil"/>
              <w:bottom w:val="single" w:color="auto" w:sz="4" w:space="0"/>
              <w:right w:val="single" w:color="auto" w:sz="4" w:space="0"/>
            </w:tcBorders>
            <w:vAlign w:val="center"/>
          </w:tcPr>
          <w:p w14:paraId="7C19510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0412367E">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68D4F68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900" w:type="dxa"/>
            <w:tcBorders>
              <w:top w:val="nil"/>
              <w:left w:val="nil"/>
              <w:bottom w:val="single" w:color="auto" w:sz="4" w:space="0"/>
              <w:right w:val="single" w:color="auto" w:sz="4" w:space="0"/>
            </w:tcBorders>
            <w:vAlign w:val="center"/>
          </w:tcPr>
          <w:p w14:paraId="1FAD4B9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760" w:type="dxa"/>
            <w:tcBorders>
              <w:top w:val="nil"/>
              <w:left w:val="nil"/>
              <w:bottom w:val="single" w:color="auto" w:sz="4" w:space="0"/>
              <w:right w:val="single" w:color="auto" w:sz="4" w:space="0"/>
            </w:tcBorders>
            <w:vAlign w:val="center"/>
          </w:tcPr>
          <w:p w14:paraId="527CFB3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3259" w:type="dxa"/>
            <w:tcBorders>
              <w:top w:val="nil"/>
              <w:left w:val="nil"/>
              <w:bottom w:val="single" w:color="auto" w:sz="4" w:space="0"/>
              <w:right w:val="single" w:color="auto" w:sz="4" w:space="0"/>
            </w:tcBorders>
            <w:vAlign w:val="center"/>
          </w:tcPr>
          <w:p w14:paraId="68E16BAF">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7B5C0FDF">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12B4C67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900" w:type="dxa"/>
            <w:tcBorders>
              <w:top w:val="nil"/>
              <w:left w:val="nil"/>
              <w:bottom w:val="single" w:color="auto" w:sz="4" w:space="0"/>
              <w:right w:val="single" w:color="auto" w:sz="4" w:space="0"/>
            </w:tcBorders>
            <w:vAlign w:val="center"/>
          </w:tcPr>
          <w:p w14:paraId="05DC6004">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760" w:type="dxa"/>
            <w:tcBorders>
              <w:top w:val="nil"/>
              <w:left w:val="nil"/>
              <w:bottom w:val="single" w:color="auto" w:sz="4" w:space="0"/>
              <w:right w:val="single" w:color="auto" w:sz="4" w:space="0"/>
            </w:tcBorders>
            <w:vAlign w:val="center"/>
          </w:tcPr>
          <w:p w14:paraId="36E70C8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3259" w:type="dxa"/>
            <w:tcBorders>
              <w:top w:val="nil"/>
              <w:left w:val="nil"/>
              <w:bottom w:val="single" w:color="auto" w:sz="4" w:space="0"/>
              <w:right w:val="single" w:color="auto" w:sz="4" w:space="0"/>
            </w:tcBorders>
            <w:vAlign w:val="center"/>
          </w:tcPr>
          <w:p w14:paraId="3549A9AE">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r>
      <w:tr w14:paraId="7C5A7E52">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1D10698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900" w:type="dxa"/>
            <w:tcBorders>
              <w:top w:val="nil"/>
              <w:left w:val="nil"/>
              <w:bottom w:val="single" w:color="auto" w:sz="4" w:space="0"/>
              <w:right w:val="single" w:color="auto" w:sz="4" w:space="0"/>
            </w:tcBorders>
            <w:vAlign w:val="center"/>
          </w:tcPr>
          <w:p w14:paraId="7F4B98A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760" w:type="dxa"/>
            <w:tcBorders>
              <w:top w:val="nil"/>
              <w:left w:val="nil"/>
              <w:bottom w:val="single" w:color="auto" w:sz="4" w:space="0"/>
              <w:right w:val="single" w:color="auto" w:sz="4" w:space="0"/>
            </w:tcBorders>
            <w:vAlign w:val="center"/>
          </w:tcPr>
          <w:p w14:paraId="02F13121">
            <w:pPr>
              <w:keepNext w:val="0"/>
              <w:keepLines w:val="0"/>
              <w:widowControl/>
              <w:suppressLineNumbers w:val="0"/>
              <w:jc w:val="center"/>
              <w:textAlignment w:val="center"/>
              <w:rPr>
                <w:rFonts w:ascii="宋体" w:hAnsi="宋体" w:eastAsia="宋体" w:cs="宋体"/>
                <w:kern w:val="2"/>
                <w:highlight w:val="none"/>
                <w:lang w:eastAsia="zh-CN"/>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3259" w:type="dxa"/>
            <w:tcBorders>
              <w:top w:val="nil"/>
              <w:left w:val="nil"/>
              <w:bottom w:val="single" w:color="auto" w:sz="4" w:space="0"/>
              <w:right w:val="single" w:color="auto" w:sz="4" w:space="0"/>
            </w:tcBorders>
            <w:vAlign w:val="center"/>
          </w:tcPr>
          <w:p w14:paraId="6433DAF6">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r>
      <w:tr w14:paraId="10D6CD92">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2C17241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900" w:type="dxa"/>
            <w:tcBorders>
              <w:top w:val="nil"/>
              <w:left w:val="nil"/>
              <w:bottom w:val="single" w:color="auto" w:sz="4" w:space="0"/>
              <w:right w:val="single" w:color="auto" w:sz="4" w:space="0"/>
            </w:tcBorders>
            <w:vAlign w:val="center"/>
          </w:tcPr>
          <w:p w14:paraId="721B30B9">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760" w:type="dxa"/>
            <w:tcBorders>
              <w:top w:val="nil"/>
              <w:left w:val="nil"/>
              <w:bottom w:val="single" w:color="auto" w:sz="4" w:space="0"/>
              <w:right w:val="single" w:color="auto" w:sz="4" w:space="0"/>
            </w:tcBorders>
            <w:vAlign w:val="center"/>
          </w:tcPr>
          <w:p w14:paraId="3E43521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3259" w:type="dxa"/>
            <w:tcBorders>
              <w:top w:val="nil"/>
              <w:left w:val="nil"/>
              <w:bottom w:val="single" w:color="auto" w:sz="4" w:space="0"/>
              <w:right w:val="single" w:color="auto" w:sz="4" w:space="0"/>
            </w:tcBorders>
            <w:vAlign w:val="center"/>
          </w:tcPr>
          <w:p w14:paraId="15DBC3B2">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8</w:t>
            </w:r>
          </w:p>
        </w:tc>
      </w:tr>
      <w:tr w14:paraId="66D51176">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61043C6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900" w:type="dxa"/>
            <w:tcBorders>
              <w:top w:val="nil"/>
              <w:left w:val="nil"/>
              <w:bottom w:val="single" w:color="auto" w:sz="4" w:space="0"/>
              <w:right w:val="single" w:color="auto" w:sz="4" w:space="0"/>
            </w:tcBorders>
            <w:vAlign w:val="center"/>
          </w:tcPr>
          <w:p w14:paraId="512E1E13">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760" w:type="dxa"/>
            <w:tcBorders>
              <w:top w:val="nil"/>
              <w:left w:val="nil"/>
              <w:bottom w:val="single" w:color="auto" w:sz="4" w:space="0"/>
              <w:right w:val="single" w:color="auto" w:sz="4" w:space="0"/>
            </w:tcBorders>
            <w:vAlign w:val="center"/>
          </w:tcPr>
          <w:p w14:paraId="14035072">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3259" w:type="dxa"/>
            <w:tcBorders>
              <w:top w:val="nil"/>
              <w:left w:val="nil"/>
              <w:bottom w:val="single" w:color="auto" w:sz="4" w:space="0"/>
              <w:right w:val="single" w:color="auto" w:sz="4" w:space="0"/>
            </w:tcBorders>
            <w:vAlign w:val="center"/>
          </w:tcPr>
          <w:p w14:paraId="273C0792">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6</w:t>
            </w:r>
          </w:p>
        </w:tc>
      </w:tr>
      <w:tr w14:paraId="2B7CBCFB">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590A629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900" w:type="dxa"/>
            <w:tcBorders>
              <w:top w:val="nil"/>
              <w:left w:val="nil"/>
              <w:bottom w:val="single" w:color="auto" w:sz="4" w:space="0"/>
              <w:right w:val="single" w:color="auto" w:sz="4" w:space="0"/>
            </w:tcBorders>
            <w:vAlign w:val="center"/>
          </w:tcPr>
          <w:p w14:paraId="7052688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760" w:type="dxa"/>
            <w:tcBorders>
              <w:top w:val="nil"/>
              <w:left w:val="nil"/>
              <w:bottom w:val="single" w:color="auto" w:sz="4" w:space="0"/>
              <w:right w:val="single" w:color="auto" w:sz="4" w:space="0"/>
            </w:tcBorders>
            <w:vAlign w:val="center"/>
          </w:tcPr>
          <w:p w14:paraId="790BEB8A">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3259" w:type="dxa"/>
            <w:tcBorders>
              <w:top w:val="nil"/>
              <w:left w:val="nil"/>
              <w:bottom w:val="single" w:color="auto" w:sz="4" w:space="0"/>
              <w:right w:val="single" w:color="auto" w:sz="4" w:space="0"/>
            </w:tcBorders>
            <w:vAlign w:val="center"/>
          </w:tcPr>
          <w:p w14:paraId="174C74B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w:t>
            </w:r>
          </w:p>
        </w:tc>
      </w:tr>
      <w:tr w14:paraId="272069BA">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32FD0A8C">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900" w:type="dxa"/>
            <w:tcBorders>
              <w:top w:val="nil"/>
              <w:left w:val="nil"/>
              <w:bottom w:val="single" w:color="auto" w:sz="4" w:space="0"/>
              <w:right w:val="single" w:color="auto" w:sz="4" w:space="0"/>
            </w:tcBorders>
            <w:vAlign w:val="center"/>
          </w:tcPr>
          <w:p w14:paraId="4409542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760" w:type="dxa"/>
            <w:tcBorders>
              <w:top w:val="nil"/>
              <w:left w:val="nil"/>
              <w:bottom w:val="single" w:color="auto" w:sz="4" w:space="0"/>
              <w:right w:val="single" w:color="auto" w:sz="4" w:space="0"/>
            </w:tcBorders>
            <w:vAlign w:val="center"/>
          </w:tcPr>
          <w:p w14:paraId="7DAF5B4D">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3259" w:type="dxa"/>
            <w:tcBorders>
              <w:top w:val="nil"/>
              <w:left w:val="nil"/>
              <w:bottom w:val="single" w:color="auto" w:sz="4" w:space="0"/>
              <w:right w:val="single" w:color="auto" w:sz="4" w:space="0"/>
            </w:tcBorders>
            <w:vAlign w:val="center"/>
          </w:tcPr>
          <w:p w14:paraId="13026089">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6</w:t>
            </w:r>
          </w:p>
        </w:tc>
      </w:tr>
      <w:tr w14:paraId="464F70DB">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1325B146">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900" w:type="dxa"/>
            <w:tcBorders>
              <w:top w:val="nil"/>
              <w:left w:val="nil"/>
              <w:bottom w:val="single" w:color="auto" w:sz="4" w:space="0"/>
              <w:right w:val="single" w:color="auto" w:sz="4" w:space="0"/>
            </w:tcBorders>
            <w:vAlign w:val="center"/>
          </w:tcPr>
          <w:p w14:paraId="1B233EF6">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760" w:type="dxa"/>
            <w:tcBorders>
              <w:top w:val="nil"/>
              <w:left w:val="nil"/>
              <w:bottom w:val="single" w:color="auto" w:sz="4" w:space="0"/>
              <w:right w:val="single" w:color="auto" w:sz="4" w:space="0"/>
            </w:tcBorders>
            <w:vAlign w:val="center"/>
          </w:tcPr>
          <w:p w14:paraId="6D8E5EAD">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3259" w:type="dxa"/>
            <w:tcBorders>
              <w:top w:val="nil"/>
              <w:left w:val="nil"/>
              <w:bottom w:val="single" w:color="auto" w:sz="4" w:space="0"/>
              <w:right w:val="single" w:color="auto" w:sz="4" w:space="0"/>
            </w:tcBorders>
            <w:vAlign w:val="center"/>
          </w:tcPr>
          <w:p w14:paraId="584D045B">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w:t>
            </w:r>
          </w:p>
        </w:tc>
      </w:tr>
      <w:tr w14:paraId="1E86E36D">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721981A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900" w:type="dxa"/>
            <w:tcBorders>
              <w:top w:val="nil"/>
              <w:left w:val="nil"/>
              <w:bottom w:val="single" w:color="auto" w:sz="4" w:space="0"/>
              <w:right w:val="single" w:color="auto" w:sz="4" w:space="0"/>
            </w:tcBorders>
            <w:vAlign w:val="center"/>
          </w:tcPr>
          <w:p w14:paraId="086E478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760" w:type="dxa"/>
            <w:tcBorders>
              <w:top w:val="nil"/>
              <w:left w:val="nil"/>
              <w:bottom w:val="single" w:color="auto" w:sz="4" w:space="0"/>
              <w:right w:val="single" w:color="auto" w:sz="4" w:space="0"/>
            </w:tcBorders>
            <w:vAlign w:val="center"/>
          </w:tcPr>
          <w:p w14:paraId="48D7715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3259" w:type="dxa"/>
            <w:tcBorders>
              <w:top w:val="nil"/>
              <w:left w:val="nil"/>
              <w:bottom w:val="single" w:color="auto" w:sz="4" w:space="0"/>
              <w:right w:val="single" w:color="auto" w:sz="4" w:space="0"/>
            </w:tcBorders>
            <w:vAlign w:val="center"/>
          </w:tcPr>
          <w:p w14:paraId="0997B0CF">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46</w:t>
            </w:r>
          </w:p>
        </w:tc>
      </w:tr>
      <w:tr w14:paraId="706F9C80">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01DEA506">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900" w:type="dxa"/>
            <w:tcBorders>
              <w:top w:val="nil"/>
              <w:left w:val="nil"/>
              <w:bottom w:val="single" w:color="auto" w:sz="4" w:space="0"/>
              <w:right w:val="single" w:color="auto" w:sz="4" w:space="0"/>
            </w:tcBorders>
            <w:vAlign w:val="center"/>
          </w:tcPr>
          <w:p w14:paraId="39CB107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760" w:type="dxa"/>
            <w:tcBorders>
              <w:top w:val="nil"/>
              <w:left w:val="nil"/>
              <w:bottom w:val="single" w:color="auto" w:sz="4" w:space="0"/>
              <w:right w:val="single" w:color="auto" w:sz="4" w:space="0"/>
            </w:tcBorders>
            <w:vAlign w:val="center"/>
          </w:tcPr>
          <w:p w14:paraId="293F677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3259" w:type="dxa"/>
            <w:tcBorders>
              <w:top w:val="nil"/>
              <w:left w:val="nil"/>
              <w:bottom w:val="single" w:color="auto" w:sz="4" w:space="0"/>
              <w:right w:val="single" w:color="auto" w:sz="4" w:space="0"/>
            </w:tcBorders>
            <w:vAlign w:val="center"/>
          </w:tcPr>
          <w:p w14:paraId="09A89BAA">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34</w:t>
            </w:r>
          </w:p>
        </w:tc>
      </w:tr>
      <w:tr w14:paraId="57EF5D04">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34EEF9D7">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900" w:type="dxa"/>
            <w:tcBorders>
              <w:top w:val="nil"/>
              <w:left w:val="nil"/>
              <w:bottom w:val="single" w:color="auto" w:sz="4" w:space="0"/>
              <w:right w:val="single" w:color="auto" w:sz="4" w:space="0"/>
            </w:tcBorders>
            <w:vAlign w:val="center"/>
          </w:tcPr>
          <w:p w14:paraId="7000F582">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760" w:type="dxa"/>
            <w:tcBorders>
              <w:top w:val="nil"/>
              <w:left w:val="nil"/>
              <w:bottom w:val="single" w:color="auto" w:sz="4" w:space="0"/>
              <w:right w:val="single" w:color="auto" w:sz="4" w:space="0"/>
            </w:tcBorders>
            <w:vAlign w:val="center"/>
          </w:tcPr>
          <w:p w14:paraId="1961A9C5">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3259" w:type="dxa"/>
            <w:tcBorders>
              <w:top w:val="nil"/>
              <w:left w:val="nil"/>
              <w:bottom w:val="single" w:color="auto" w:sz="4" w:space="0"/>
              <w:right w:val="single" w:color="auto" w:sz="4" w:space="0"/>
            </w:tcBorders>
            <w:vAlign w:val="center"/>
          </w:tcPr>
          <w:p w14:paraId="7D63FD0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50</w:t>
            </w:r>
          </w:p>
        </w:tc>
      </w:tr>
      <w:tr w14:paraId="71550A57">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124CC7E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900" w:type="dxa"/>
            <w:tcBorders>
              <w:top w:val="nil"/>
              <w:left w:val="nil"/>
              <w:bottom w:val="single" w:color="auto" w:sz="4" w:space="0"/>
              <w:right w:val="single" w:color="auto" w:sz="4" w:space="0"/>
            </w:tcBorders>
            <w:vAlign w:val="center"/>
          </w:tcPr>
          <w:p w14:paraId="516CAA18">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760" w:type="dxa"/>
            <w:tcBorders>
              <w:top w:val="nil"/>
              <w:left w:val="nil"/>
              <w:bottom w:val="single" w:color="auto" w:sz="4" w:space="0"/>
              <w:right w:val="single" w:color="auto" w:sz="4" w:space="0"/>
            </w:tcBorders>
            <w:vAlign w:val="center"/>
          </w:tcPr>
          <w:p w14:paraId="52D313C0">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3259" w:type="dxa"/>
            <w:tcBorders>
              <w:top w:val="nil"/>
              <w:left w:val="nil"/>
              <w:bottom w:val="single" w:color="auto" w:sz="4" w:space="0"/>
              <w:right w:val="single" w:color="auto" w:sz="4" w:space="0"/>
            </w:tcBorders>
            <w:vAlign w:val="center"/>
          </w:tcPr>
          <w:p w14:paraId="72919471">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31</w:t>
            </w:r>
          </w:p>
        </w:tc>
      </w:tr>
      <w:tr w14:paraId="06D169E8">
        <w:tblPrEx>
          <w:tblCellMar>
            <w:top w:w="0" w:type="dxa"/>
            <w:left w:w="108" w:type="dxa"/>
            <w:bottom w:w="0" w:type="dxa"/>
            <w:right w:w="108" w:type="dxa"/>
          </w:tblCellMar>
        </w:tblPrEx>
        <w:trPr>
          <w:trHeight w:val="454" w:hRule="exact"/>
        </w:trPr>
        <w:tc>
          <w:tcPr>
            <w:tcW w:w="1520" w:type="dxa"/>
            <w:tcBorders>
              <w:top w:val="nil"/>
              <w:left w:val="single" w:color="auto" w:sz="4" w:space="0"/>
              <w:bottom w:val="single" w:color="auto" w:sz="4" w:space="0"/>
              <w:right w:val="single" w:color="auto" w:sz="4" w:space="0"/>
            </w:tcBorders>
            <w:vAlign w:val="center"/>
          </w:tcPr>
          <w:p w14:paraId="201A8489">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900" w:type="dxa"/>
            <w:tcBorders>
              <w:top w:val="nil"/>
              <w:left w:val="nil"/>
              <w:bottom w:val="single" w:color="auto" w:sz="4" w:space="0"/>
              <w:right w:val="single" w:color="auto" w:sz="4" w:space="0"/>
            </w:tcBorders>
            <w:vAlign w:val="center"/>
          </w:tcPr>
          <w:p w14:paraId="2FAD620E">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760" w:type="dxa"/>
            <w:tcBorders>
              <w:top w:val="nil"/>
              <w:left w:val="nil"/>
              <w:bottom w:val="single" w:color="auto" w:sz="4" w:space="0"/>
              <w:right w:val="single" w:color="auto" w:sz="4" w:space="0"/>
            </w:tcBorders>
            <w:vAlign w:val="center"/>
          </w:tcPr>
          <w:p w14:paraId="0A6A1ECB">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3259" w:type="dxa"/>
            <w:tcBorders>
              <w:top w:val="nil"/>
              <w:left w:val="nil"/>
              <w:bottom w:val="single" w:color="auto" w:sz="4" w:space="0"/>
              <w:right w:val="single" w:color="auto" w:sz="4" w:space="0"/>
            </w:tcBorders>
            <w:vAlign w:val="center"/>
          </w:tcPr>
          <w:p w14:paraId="1BDE390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8</w:t>
            </w:r>
          </w:p>
        </w:tc>
      </w:tr>
      <w:tr w14:paraId="1193CDF8">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69D7594D">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900" w:type="dxa"/>
            <w:tcBorders>
              <w:top w:val="single" w:color="auto" w:sz="4" w:space="0"/>
              <w:left w:val="single" w:color="auto" w:sz="4" w:space="0"/>
              <w:bottom w:val="single" w:color="auto" w:sz="4" w:space="0"/>
              <w:right w:val="single" w:color="auto" w:sz="4" w:space="0"/>
            </w:tcBorders>
            <w:vAlign w:val="center"/>
          </w:tcPr>
          <w:p w14:paraId="0FB8CD01">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760" w:type="dxa"/>
            <w:tcBorders>
              <w:top w:val="single" w:color="auto" w:sz="4" w:space="0"/>
              <w:left w:val="single" w:color="auto" w:sz="4" w:space="0"/>
              <w:bottom w:val="single" w:color="auto" w:sz="4" w:space="0"/>
              <w:right w:val="single" w:color="auto" w:sz="4" w:space="0"/>
            </w:tcBorders>
            <w:vAlign w:val="center"/>
          </w:tcPr>
          <w:p w14:paraId="6B6B9ACF">
            <w:pPr>
              <w:keepNext w:val="0"/>
              <w:keepLines w:val="0"/>
              <w:widowControl/>
              <w:suppressLineNumbers w:val="0"/>
              <w:jc w:val="center"/>
              <w:textAlignment w:val="center"/>
              <w:rPr>
                <w:rFonts w:ascii="宋体" w:hAnsi="宋体" w:eastAsia="宋体" w:cs="宋体"/>
                <w:kern w:val="2"/>
                <w:highlight w:val="none"/>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3259" w:type="dxa"/>
            <w:tcBorders>
              <w:top w:val="single" w:color="auto" w:sz="4" w:space="0"/>
              <w:left w:val="single" w:color="auto" w:sz="4" w:space="0"/>
              <w:bottom w:val="single" w:color="auto" w:sz="4" w:space="0"/>
              <w:right w:val="single" w:color="auto" w:sz="4" w:space="0"/>
            </w:tcBorders>
            <w:vAlign w:val="center"/>
          </w:tcPr>
          <w:p w14:paraId="1218A60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w:t>
            </w:r>
          </w:p>
        </w:tc>
      </w:tr>
      <w:tr w14:paraId="349959F2">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789AB20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900" w:type="dxa"/>
            <w:tcBorders>
              <w:top w:val="single" w:color="auto" w:sz="4" w:space="0"/>
              <w:left w:val="single" w:color="auto" w:sz="4" w:space="0"/>
              <w:bottom w:val="single" w:color="auto" w:sz="4" w:space="0"/>
              <w:right w:val="single" w:color="auto" w:sz="4" w:space="0"/>
            </w:tcBorders>
            <w:vAlign w:val="center"/>
          </w:tcPr>
          <w:p w14:paraId="08531BB1">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760" w:type="dxa"/>
            <w:tcBorders>
              <w:top w:val="single" w:color="auto" w:sz="4" w:space="0"/>
              <w:left w:val="single" w:color="auto" w:sz="4" w:space="0"/>
              <w:bottom w:val="single" w:color="auto" w:sz="4" w:space="0"/>
              <w:right w:val="single" w:color="auto" w:sz="4" w:space="0"/>
            </w:tcBorders>
            <w:vAlign w:val="center"/>
          </w:tcPr>
          <w:p w14:paraId="12E87A0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3259" w:type="dxa"/>
            <w:tcBorders>
              <w:top w:val="single" w:color="auto" w:sz="4" w:space="0"/>
              <w:left w:val="single" w:color="auto" w:sz="4" w:space="0"/>
              <w:bottom w:val="single" w:color="auto" w:sz="4" w:space="0"/>
              <w:right w:val="single" w:color="auto" w:sz="4" w:space="0"/>
            </w:tcBorders>
            <w:vAlign w:val="center"/>
          </w:tcPr>
          <w:p w14:paraId="5B93D330">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r>
      <w:tr w14:paraId="0F52AD70">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65D093B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900" w:type="dxa"/>
            <w:tcBorders>
              <w:top w:val="single" w:color="auto" w:sz="4" w:space="0"/>
              <w:left w:val="single" w:color="auto" w:sz="4" w:space="0"/>
              <w:bottom w:val="single" w:color="auto" w:sz="4" w:space="0"/>
              <w:right w:val="single" w:color="auto" w:sz="4" w:space="0"/>
            </w:tcBorders>
            <w:vAlign w:val="center"/>
          </w:tcPr>
          <w:p w14:paraId="3BF17D7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760" w:type="dxa"/>
            <w:tcBorders>
              <w:top w:val="single" w:color="auto" w:sz="4" w:space="0"/>
              <w:left w:val="single" w:color="auto" w:sz="4" w:space="0"/>
              <w:bottom w:val="single" w:color="auto" w:sz="4" w:space="0"/>
              <w:right w:val="single" w:color="auto" w:sz="4" w:space="0"/>
            </w:tcBorders>
            <w:vAlign w:val="center"/>
          </w:tcPr>
          <w:p w14:paraId="3ACB5AA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3259" w:type="dxa"/>
            <w:tcBorders>
              <w:top w:val="single" w:color="auto" w:sz="4" w:space="0"/>
              <w:left w:val="single" w:color="auto" w:sz="4" w:space="0"/>
              <w:bottom w:val="single" w:color="auto" w:sz="4" w:space="0"/>
              <w:right w:val="single" w:color="auto" w:sz="4" w:space="0"/>
            </w:tcBorders>
            <w:vAlign w:val="center"/>
          </w:tcPr>
          <w:p w14:paraId="768A515A">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5</w:t>
            </w:r>
          </w:p>
        </w:tc>
      </w:tr>
      <w:tr w14:paraId="75459338">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73DD8F50">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900" w:type="dxa"/>
            <w:tcBorders>
              <w:top w:val="single" w:color="auto" w:sz="4" w:space="0"/>
              <w:left w:val="single" w:color="auto" w:sz="4" w:space="0"/>
              <w:bottom w:val="single" w:color="auto" w:sz="4" w:space="0"/>
              <w:right w:val="single" w:color="auto" w:sz="4" w:space="0"/>
            </w:tcBorders>
            <w:vAlign w:val="center"/>
          </w:tcPr>
          <w:p w14:paraId="4B255D4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760" w:type="dxa"/>
            <w:tcBorders>
              <w:top w:val="single" w:color="auto" w:sz="4" w:space="0"/>
              <w:left w:val="single" w:color="auto" w:sz="4" w:space="0"/>
              <w:bottom w:val="single" w:color="auto" w:sz="4" w:space="0"/>
              <w:right w:val="single" w:color="auto" w:sz="4" w:space="0"/>
            </w:tcBorders>
            <w:vAlign w:val="center"/>
          </w:tcPr>
          <w:p w14:paraId="2C20549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3259" w:type="dxa"/>
            <w:tcBorders>
              <w:top w:val="single" w:color="auto" w:sz="4" w:space="0"/>
              <w:left w:val="single" w:color="auto" w:sz="4" w:space="0"/>
              <w:bottom w:val="single" w:color="auto" w:sz="4" w:space="0"/>
              <w:right w:val="single" w:color="auto" w:sz="4" w:space="0"/>
            </w:tcBorders>
            <w:vAlign w:val="center"/>
          </w:tcPr>
          <w:p w14:paraId="49EDA35D">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3</w:t>
            </w:r>
          </w:p>
        </w:tc>
      </w:tr>
      <w:tr w14:paraId="355A0F9B">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292E9CA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900" w:type="dxa"/>
            <w:tcBorders>
              <w:top w:val="single" w:color="auto" w:sz="4" w:space="0"/>
              <w:left w:val="single" w:color="auto" w:sz="4" w:space="0"/>
              <w:bottom w:val="single" w:color="auto" w:sz="4" w:space="0"/>
              <w:right w:val="single" w:color="auto" w:sz="4" w:space="0"/>
            </w:tcBorders>
            <w:vAlign w:val="center"/>
          </w:tcPr>
          <w:p w14:paraId="6BAC125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760" w:type="dxa"/>
            <w:tcBorders>
              <w:top w:val="single" w:color="auto" w:sz="4" w:space="0"/>
              <w:left w:val="single" w:color="auto" w:sz="4" w:space="0"/>
              <w:bottom w:val="single" w:color="auto" w:sz="4" w:space="0"/>
              <w:right w:val="single" w:color="auto" w:sz="4" w:space="0"/>
            </w:tcBorders>
            <w:vAlign w:val="center"/>
          </w:tcPr>
          <w:p w14:paraId="2FFB93C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3259" w:type="dxa"/>
            <w:tcBorders>
              <w:top w:val="single" w:color="auto" w:sz="4" w:space="0"/>
              <w:left w:val="single" w:color="auto" w:sz="4" w:space="0"/>
              <w:bottom w:val="single" w:color="auto" w:sz="4" w:space="0"/>
              <w:right w:val="single" w:color="auto" w:sz="4" w:space="0"/>
            </w:tcBorders>
            <w:vAlign w:val="center"/>
          </w:tcPr>
          <w:p w14:paraId="3A1A22B5">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w:t>
            </w:r>
          </w:p>
        </w:tc>
      </w:tr>
      <w:tr w14:paraId="39304E0F">
        <w:tblPrEx>
          <w:tblCellMar>
            <w:top w:w="0" w:type="dxa"/>
            <w:left w:w="108" w:type="dxa"/>
            <w:bottom w:w="0" w:type="dxa"/>
            <w:right w:w="108" w:type="dxa"/>
          </w:tblCellMar>
        </w:tblPrEx>
        <w:trPr>
          <w:trHeight w:val="454" w:hRule="exact"/>
        </w:trPr>
        <w:tc>
          <w:tcPr>
            <w:tcW w:w="1520" w:type="dxa"/>
            <w:tcBorders>
              <w:top w:val="single" w:color="auto" w:sz="4" w:space="0"/>
              <w:left w:val="single" w:color="auto" w:sz="4" w:space="0"/>
              <w:bottom w:val="single" w:color="auto" w:sz="4" w:space="0"/>
              <w:right w:val="single" w:color="auto" w:sz="4" w:space="0"/>
            </w:tcBorders>
            <w:vAlign w:val="center"/>
          </w:tcPr>
          <w:p w14:paraId="172FC89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900" w:type="dxa"/>
            <w:tcBorders>
              <w:top w:val="single" w:color="auto" w:sz="4" w:space="0"/>
              <w:left w:val="single" w:color="auto" w:sz="4" w:space="0"/>
              <w:bottom w:val="single" w:color="auto" w:sz="4" w:space="0"/>
              <w:right w:val="single" w:color="auto" w:sz="4" w:space="0"/>
            </w:tcBorders>
            <w:vAlign w:val="center"/>
          </w:tcPr>
          <w:p w14:paraId="1EEA343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760" w:type="dxa"/>
            <w:tcBorders>
              <w:top w:val="single" w:color="auto" w:sz="4" w:space="0"/>
              <w:left w:val="single" w:color="auto" w:sz="4" w:space="0"/>
              <w:bottom w:val="single" w:color="auto" w:sz="4" w:space="0"/>
              <w:right w:val="single" w:color="auto" w:sz="4" w:space="0"/>
            </w:tcBorders>
            <w:vAlign w:val="center"/>
          </w:tcPr>
          <w:p w14:paraId="1DDA71F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3259" w:type="dxa"/>
            <w:tcBorders>
              <w:top w:val="single" w:color="auto" w:sz="4" w:space="0"/>
              <w:left w:val="single" w:color="auto" w:sz="4" w:space="0"/>
              <w:bottom w:val="single" w:color="auto" w:sz="4" w:space="0"/>
              <w:right w:val="single" w:color="auto" w:sz="4" w:space="0"/>
            </w:tcBorders>
            <w:vAlign w:val="center"/>
          </w:tcPr>
          <w:p w14:paraId="76621496">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r>
    </w:tbl>
    <w:p w14:paraId="2D71A934">
      <w:pPr>
        <w:rPr>
          <w:highlight w:val="none"/>
          <w:lang w:eastAsia="zh-CN"/>
        </w:rPr>
      </w:pPr>
      <w:r>
        <w:rPr>
          <w:highlight w:val="none"/>
          <w:lang w:eastAsia="zh-CN"/>
        </w:rPr>
        <w:br w:type="page"/>
      </w:r>
    </w:p>
    <w:p w14:paraId="16959247">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附表8</w:t>
      </w:r>
    </w:p>
    <w:p w14:paraId="3F513854">
      <w:pPr>
        <w:pStyle w:val="2"/>
        <w:rPr>
          <w:rFonts w:ascii="宋体" w:hAnsi="宋体" w:eastAsia="宋体" w:cs="宋体"/>
          <w:bCs/>
          <w:spacing w:val="9"/>
          <w:kern w:val="0"/>
          <w:sz w:val="28"/>
          <w:szCs w:val="28"/>
          <w:highlight w:val="none"/>
          <w:lang w:eastAsia="zh-CN"/>
        </w:rPr>
      </w:pPr>
      <w:bookmarkStart w:id="108" w:name="_Toc3796"/>
      <w:bookmarkStart w:id="109" w:name="_Toc11813"/>
      <w:r>
        <w:rPr>
          <w:rFonts w:hint="eastAsia" w:ascii="宋体" w:hAnsi="宋体" w:eastAsia="宋体" w:cs="宋体"/>
          <w:bCs/>
          <w:spacing w:val="9"/>
          <w:kern w:val="0"/>
          <w:sz w:val="28"/>
          <w:szCs w:val="28"/>
          <w:highlight w:val="none"/>
          <w:lang w:eastAsia="zh-CN"/>
        </w:rPr>
        <w:t>各专业毕业生毕业就业情况一览表</w:t>
      </w:r>
      <w:bookmarkEnd w:id="108"/>
      <w:bookmarkEnd w:id="109"/>
    </w:p>
    <w:tbl>
      <w:tblPr>
        <w:tblStyle w:val="19"/>
        <w:tblW w:w="8505" w:type="dxa"/>
        <w:jc w:val="center"/>
        <w:tblLayout w:type="fixed"/>
        <w:tblCellMar>
          <w:top w:w="0" w:type="dxa"/>
          <w:left w:w="0" w:type="dxa"/>
          <w:bottom w:w="0" w:type="dxa"/>
          <w:right w:w="0" w:type="dxa"/>
        </w:tblCellMar>
      </w:tblPr>
      <w:tblGrid>
        <w:gridCol w:w="630"/>
        <w:gridCol w:w="1455"/>
        <w:gridCol w:w="2250"/>
        <w:gridCol w:w="1485"/>
        <w:gridCol w:w="1410"/>
        <w:gridCol w:w="1275"/>
      </w:tblGrid>
      <w:tr w14:paraId="182F0387">
        <w:tblPrEx>
          <w:tblCellMar>
            <w:top w:w="0" w:type="dxa"/>
            <w:left w:w="0" w:type="dxa"/>
            <w:bottom w:w="0" w:type="dxa"/>
            <w:right w:w="0" w:type="dxa"/>
          </w:tblCellMar>
        </w:tblPrEx>
        <w:trPr>
          <w:trHeight w:val="697" w:hRule="exac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60A037">
            <w:pPr>
              <w:jc w:val="center"/>
              <w:textAlignment w:val="center"/>
              <w:rPr>
                <w:rFonts w:ascii="宋体" w:hAnsi="宋体" w:eastAsia="宋体" w:cs="宋体"/>
                <w:b/>
                <w:kern w:val="2"/>
                <w:highlight w:val="none"/>
              </w:rPr>
            </w:pPr>
            <w:r>
              <w:rPr>
                <w:rFonts w:hint="eastAsia" w:ascii="宋体" w:hAnsi="宋体" w:eastAsia="宋体" w:cs="宋体"/>
                <w:b/>
                <w:highlight w:val="none"/>
                <w:lang w:bidi="ar"/>
              </w:rPr>
              <w:t>序号</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BE55A1">
            <w:pPr>
              <w:jc w:val="center"/>
              <w:textAlignment w:val="center"/>
              <w:rPr>
                <w:rFonts w:ascii="宋体" w:hAnsi="宋体" w:eastAsia="宋体" w:cs="宋体"/>
                <w:b/>
                <w:kern w:val="2"/>
                <w:highlight w:val="none"/>
              </w:rPr>
            </w:pPr>
            <w:r>
              <w:rPr>
                <w:rFonts w:hint="eastAsia" w:ascii="宋体" w:hAnsi="宋体" w:eastAsia="宋体" w:cs="宋体"/>
                <w:b/>
                <w:highlight w:val="none"/>
                <w:lang w:bidi="ar"/>
              </w:rPr>
              <w:t>校内专业代码</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B55A0F">
            <w:pPr>
              <w:jc w:val="center"/>
              <w:textAlignment w:val="center"/>
              <w:rPr>
                <w:rFonts w:ascii="宋体" w:hAnsi="宋体" w:eastAsia="宋体" w:cs="宋体"/>
                <w:b/>
                <w:kern w:val="2"/>
                <w:highlight w:val="none"/>
              </w:rPr>
            </w:pPr>
            <w:r>
              <w:rPr>
                <w:rFonts w:hint="eastAsia" w:ascii="宋体" w:hAnsi="宋体" w:eastAsia="宋体" w:cs="宋体"/>
                <w:b/>
                <w:highlight w:val="none"/>
                <w:lang w:bidi="ar"/>
              </w:rPr>
              <w:t>校内专业名称</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80C668">
            <w:pPr>
              <w:jc w:val="center"/>
              <w:textAlignment w:val="center"/>
              <w:rPr>
                <w:rFonts w:ascii="宋体" w:hAnsi="宋体" w:eastAsia="宋体" w:cs="宋体"/>
                <w:b/>
                <w:kern w:val="2"/>
                <w:highlight w:val="none"/>
              </w:rPr>
            </w:pPr>
            <w:r>
              <w:rPr>
                <w:rFonts w:hint="eastAsia" w:ascii="宋体" w:hAnsi="宋体" w:eastAsia="宋体" w:cs="宋体"/>
                <w:b/>
                <w:highlight w:val="none"/>
                <w:lang w:bidi="ar"/>
              </w:rPr>
              <w:t>毕业率</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603AD8">
            <w:pPr>
              <w:jc w:val="center"/>
              <w:textAlignment w:val="center"/>
              <w:rPr>
                <w:rFonts w:ascii="宋体" w:hAnsi="宋体" w:eastAsia="宋体" w:cs="宋体"/>
                <w:b/>
                <w:kern w:val="2"/>
                <w:highlight w:val="none"/>
              </w:rPr>
            </w:pPr>
            <w:r>
              <w:rPr>
                <w:rFonts w:hint="eastAsia" w:ascii="宋体" w:hAnsi="宋体" w:eastAsia="宋体" w:cs="宋体"/>
                <w:b/>
                <w:highlight w:val="none"/>
                <w:lang w:bidi="ar"/>
              </w:rPr>
              <w:t>学位授予率</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BD55F0">
            <w:pPr>
              <w:jc w:val="center"/>
              <w:textAlignment w:val="center"/>
              <w:rPr>
                <w:rFonts w:ascii="宋体" w:hAnsi="宋体" w:eastAsia="宋体" w:cs="宋体"/>
                <w:b/>
                <w:kern w:val="2"/>
                <w:highlight w:val="none"/>
              </w:rPr>
            </w:pPr>
            <w:r>
              <w:rPr>
                <w:rFonts w:hint="eastAsia" w:ascii="宋体" w:hAnsi="宋体" w:eastAsia="宋体" w:cs="宋体"/>
                <w:b/>
                <w:highlight w:val="none"/>
                <w:lang w:bidi="ar"/>
              </w:rPr>
              <w:t>初次就业率</w:t>
            </w:r>
          </w:p>
        </w:tc>
      </w:tr>
      <w:tr w14:paraId="7E6917BA">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5FB256">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35D78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040106</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26950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学前教育</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FC1A42">
            <w:pPr>
              <w:keepNext w:val="0"/>
              <w:keepLines w:val="0"/>
              <w:widowControl/>
              <w:suppressLineNumbers w:val="0"/>
              <w:jc w:val="center"/>
              <w:textAlignment w:val="center"/>
              <w:rPr>
                <w:rFonts w:hint="default" w:ascii="宋体" w:hAnsi="宋体" w:eastAsia="宋体" w:cs="宋体"/>
                <w:highlight w:val="none"/>
                <w:lang w:val="en-US" w:bidi="ar"/>
              </w:rPr>
            </w:pPr>
            <w:r>
              <w:rPr>
                <w:rFonts w:hint="eastAsia" w:eastAsia="宋体" w:cs="Arial"/>
                <w:i w:val="0"/>
                <w:iCs w:val="0"/>
                <w:snapToGrid w:val="0"/>
                <w:color w:val="000000"/>
                <w:kern w:val="0"/>
                <w:sz w:val="20"/>
                <w:szCs w:val="20"/>
                <w:highlight w:val="none"/>
                <w:u w:val="none"/>
                <w:lang w:val="en-US" w:eastAsia="zh-CN" w:bidi="ar"/>
              </w:rPr>
              <w:t>99.00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8DEEEA">
            <w:pPr>
              <w:keepNext w:val="0"/>
              <w:keepLines w:val="0"/>
              <w:widowControl/>
              <w:suppressLineNumbers w:val="0"/>
              <w:jc w:val="center"/>
              <w:textAlignment w:val="center"/>
              <w:rPr>
                <w:rFonts w:hint="default" w:ascii="宋体" w:hAnsi="宋体" w:eastAsia="宋体" w:cs="宋体"/>
                <w:highlight w:val="none"/>
                <w:lang w:val="en-US" w:bidi="ar"/>
              </w:rPr>
            </w:pPr>
            <w:r>
              <w:rPr>
                <w:rFonts w:hint="default" w:ascii="Arial" w:hAnsi="Arial" w:eastAsia="宋体" w:cs="Arial"/>
                <w:i w:val="0"/>
                <w:iCs w:val="0"/>
                <w:snapToGrid w:val="0"/>
                <w:color w:val="000000"/>
                <w:kern w:val="0"/>
                <w:sz w:val="20"/>
                <w:szCs w:val="20"/>
                <w:highlight w:val="none"/>
                <w:u w:val="none"/>
                <w:lang w:val="en-US" w:eastAsia="zh-CN" w:bidi="ar"/>
              </w:rPr>
              <w:t>9</w:t>
            </w:r>
            <w:r>
              <w:rPr>
                <w:rFonts w:hint="eastAsia" w:eastAsia="宋体" w:cs="Arial"/>
                <w:i w:val="0"/>
                <w:iCs w:val="0"/>
                <w:snapToGrid w:val="0"/>
                <w:color w:val="000000"/>
                <w:kern w:val="0"/>
                <w:sz w:val="20"/>
                <w:szCs w:val="20"/>
                <w:highlight w:val="none"/>
                <w:u w:val="none"/>
                <w:lang w:val="en-US" w:eastAsia="zh-CN" w:bidi="ar"/>
              </w:rPr>
              <w:t>8.53</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C3D0D7">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85.93</w:t>
            </w:r>
          </w:p>
        </w:tc>
      </w:tr>
      <w:tr w14:paraId="55FABC2F">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EB33D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A1964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050103</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C3579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汉语国际教育</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ADD22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52FA7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9419BB">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83.67</w:t>
            </w:r>
          </w:p>
        </w:tc>
      </w:tr>
      <w:tr w14:paraId="43DD4098">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5B7EF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3</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83B9F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080208</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ED463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汽车服务工程</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BC692A">
            <w:pPr>
              <w:keepNext w:val="0"/>
              <w:keepLines w:val="0"/>
              <w:widowControl/>
              <w:suppressLineNumbers w:val="0"/>
              <w:jc w:val="center"/>
              <w:textAlignment w:val="center"/>
              <w:rPr>
                <w:rFonts w:hint="default" w:ascii="宋体" w:hAnsi="宋体" w:eastAsia="宋体" w:cs="宋体"/>
                <w:highlight w:val="none"/>
                <w:lang w:val="en-US" w:bidi="ar"/>
              </w:rPr>
            </w:pPr>
            <w:r>
              <w:rPr>
                <w:rFonts w:hint="eastAsia" w:eastAsia="宋体" w:cs="Arial"/>
                <w:i w:val="0"/>
                <w:iCs w:val="0"/>
                <w:snapToGrid w:val="0"/>
                <w:color w:val="000000"/>
                <w:kern w:val="0"/>
                <w:sz w:val="20"/>
                <w:szCs w:val="20"/>
                <w:highlight w:val="none"/>
                <w:u w:val="none"/>
                <w:lang w:val="en-US" w:eastAsia="zh-CN" w:bidi="ar"/>
              </w:rPr>
              <w:t>99.00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5F0822">
            <w:pPr>
              <w:keepNext w:val="0"/>
              <w:keepLines w:val="0"/>
              <w:widowControl/>
              <w:suppressLineNumbers w:val="0"/>
              <w:jc w:val="center"/>
              <w:textAlignment w:val="center"/>
              <w:rPr>
                <w:rFonts w:hint="default" w:ascii="宋体" w:hAnsi="宋体" w:eastAsia="宋体" w:cs="宋体"/>
                <w:highlight w:val="none"/>
                <w:lang w:val="en-US" w:bidi="ar"/>
              </w:rPr>
            </w:pPr>
            <w:r>
              <w:rPr>
                <w:rFonts w:hint="eastAsia" w:eastAsia="宋体" w:cs="Arial"/>
                <w:i w:val="0"/>
                <w:iCs w:val="0"/>
                <w:snapToGrid w:val="0"/>
                <w:color w:val="000000"/>
                <w:kern w:val="0"/>
                <w:sz w:val="20"/>
                <w:szCs w:val="20"/>
                <w:highlight w:val="none"/>
                <w:u w:val="none"/>
                <w:lang w:val="en-US" w:eastAsia="zh-CN" w:bidi="ar"/>
              </w:rPr>
              <w:t>94.20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983528">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76.47</w:t>
            </w:r>
          </w:p>
        </w:tc>
      </w:tr>
      <w:tr w14:paraId="551761C4">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DD50F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4</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6F5AE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080701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5230F7">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电子信息工程</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747CB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33FA8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97.92</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D279DC">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91.67</w:t>
            </w:r>
          </w:p>
        </w:tc>
      </w:tr>
      <w:tr w14:paraId="54D216B8">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24F37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5</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46E561">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080717T</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34BB4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人工智能</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CA19A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CF2D1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01CA6F">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89.58</w:t>
            </w:r>
          </w:p>
        </w:tc>
      </w:tr>
      <w:tr w14:paraId="1E577586">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2082E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6</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D3669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ECA4F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计算机科学与技术</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BCE38E">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14240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97.66</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E341C7">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92.4</w:t>
            </w:r>
          </w:p>
        </w:tc>
      </w:tr>
      <w:tr w14:paraId="374487EB">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32BE83">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7</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2E115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080903</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BCC4F1">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网络工程</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E49E57">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86FE7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96.67</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D16E47">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90</w:t>
            </w:r>
          </w:p>
        </w:tc>
      </w:tr>
      <w:tr w14:paraId="1EA2B1BC">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E5C2EF">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8</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E42B8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080906</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59B0D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数字媒体技术</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C3909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9780E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97.37</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33A701">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92.11</w:t>
            </w:r>
          </w:p>
        </w:tc>
      </w:tr>
      <w:tr w14:paraId="619FEA8C">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1A246C">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9</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4A189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080910T</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70444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数据科学与大数据技术</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8A369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E393F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98.04</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489472">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92.16</w:t>
            </w:r>
          </w:p>
        </w:tc>
      </w:tr>
      <w:tr w14:paraId="1DB436A0">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611260">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4C7BF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081001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FD1174">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土木工程</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0AD16D">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E2266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93.62</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C3D745">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72.34</w:t>
            </w:r>
          </w:p>
        </w:tc>
      </w:tr>
      <w:tr w14:paraId="11C00C69">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35624F">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11</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5C64B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081801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60EAA9">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交通运输</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17124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47EC6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89.80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F20D5F">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81.63</w:t>
            </w:r>
          </w:p>
        </w:tc>
      </w:tr>
      <w:tr w14:paraId="2CC3E2DD">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13C616">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12</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FDD44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100701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D7C63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药学</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05F76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E22405">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9EC9A8">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93.29</w:t>
            </w:r>
          </w:p>
        </w:tc>
      </w:tr>
      <w:tr w14:paraId="4797171F">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593490">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13</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740D2B">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100801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453F9F">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中药学</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50F43D">
            <w:pPr>
              <w:keepNext w:val="0"/>
              <w:keepLines w:val="0"/>
              <w:widowControl/>
              <w:suppressLineNumbers w:val="0"/>
              <w:jc w:val="center"/>
              <w:textAlignment w:val="center"/>
              <w:rPr>
                <w:rFonts w:hint="default" w:ascii="宋体" w:hAnsi="宋体" w:eastAsia="宋体" w:cs="宋体"/>
                <w:highlight w:val="none"/>
                <w:lang w:val="en-US" w:bidi="ar"/>
              </w:rPr>
            </w:pPr>
            <w:r>
              <w:rPr>
                <w:rFonts w:hint="default" w:ascii="Arial" w:hAnsi="Arial" w:eastAsia="宋体" w:cs="Arial"/>
                <w:i w:val="0"/>
                <w:iCs w:val="0"/>
                <w:snapToGrid w:val="0"/>
                <w:color w:val="000000"/>
                <w:kern w:val="0"/>
                <w:sz w:val="20"/>
                <w:szCs w:val="20"/>
                <w:highlight w:val="none"/>
                <w:u w:val="none"/>
                <w:lang w:val="en-US" w:eastAsia="zh-CN" w:bidi="ar"/>
              </w:rPr>
              <w:t>98.</w:t>
            </w:r>
            <w:r>
              <w:rPr>
                <w:rFonts w:hint="eastAsia" w:eastAsia="宋体" w:cs="Arial"/>
                <w:i w:val="0"/>
                <w:iCs w:val="0"/>
                <w:snapToGrid w:val="0"/>
                <w:color w:val="000000"/>
                <w:kern w:val="0"/>
                <w:sz w:val="20"/>
                <w:szCs w:val="20"/>
                <w:highlight w:val="none"/>
                <w:u w:val="none"/>
                <w:lang w:val="en-US" w:eastAsia="zh-CN" w:bidi="ar"/>
              </w:rPr>
              <w:t>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7350C1">
            <w:pPr>
              <w:keepNext w:val="0"/>
              <w:keepLines w:val="0"/>
              <w:widowControl/>
              <w:suppressLineNumbers w:val="0"/>
              <w:jc w:val="center"/>
              <w:textAlignment w:val="center"/>
              <w:rPr>
                <w:rFonts w:hint="default" w:ascii="宋体" w:hAnsi="宋体" w:eastAsia="宋体" w:cs="宋体"/>
                <w:highlight w:val="none"/>
                <w:lang w:val="en-US" w:bidi="ar"/>
              </w:rPr>
            </w:pPr>
            <w:r>
              <w:rPr>
                <w:rFonts w:hint="eastAsia" w:eastAsia="宋体" w:cs="Arial"/>
                <w:i w:val="0"/>
                <w:iCs w:val="0"/>
                <w:snapToGrid w:val="0"/>
                <w:color w:val="000000"/>
                <w:kern w:val="0"/>
                <w:sz w:val="20"/>
                <w:szCs w:val="20"/>
                <w:highlight w:val="none"/>
                <w:u w:val="none"/>
                <w:lang w:val="en-US" w:eastAsia="zh-CN" w:bidi="ar"/>
              </w:rPr>
              <w:t>98.15</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8F5649">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92.45</w:t>
            </w:r>
          </w:p>
        </w:tc>
      </w:tr>
      <w:tr w14:paraId="6CEC64C3">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BB9455">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14</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238E5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100805T</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BBCAF3">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中药制药</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3204C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29C3DC">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97.92</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E0990E">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91.67</w:t>
            </w:r>
          </w:p>
        </w:tc>
      </w:tr>
      <w:tr w14:paraId="0968DDD5">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61FC6A">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15</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284B4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101001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E3FBB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医学检验技术</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15C753">
            <w:pPr>
              <w:keepNext w:val="0"/>
              <w:keepLines w:val="0"/>
              <w:widowControl/>
              <w:suppressLineNumbers w:val="0"/>
              <w:jc w:val="center"/>
              <w:textAlignment w:val="center"/>
              <w:rPr>
                <w:rFonts w:hint="default" w:ascii="宋体" w:hAnsi="宋体" w:eastAsia="宋体" w:cs="宋体"/>
                <w:highlight w:val="none"/>
                <w:lang w:val="en-US" w:bidi="ar"/>
              </w:rPr>
            </w:pPr>
            <w:r>
              <w:rPr>
                <w:rFonts w:hint="default" w:ascii="Arial" w:hAnsi="Arial" w:eastAsia="宋体" w:cs="Arial"/>
                <w:i w:val="0"/>
                <w:iCs w:val="0"/>
                <w:snapToGrid w:val="0"/>
                <w:color w:val="000000"/>
                <w:kern w:val="0"/>
                <w:sz w:val="20"/>
                <w:szCs w:val="20"/>
                <w:highlight w:val="none"/>
                <w:u w:val="none"/>
                <w:lang w:val="en-US" w:eastAsia="zh-CN" w:bidi="ar"/>
              </w:rPr>
              <w:t>98.</w:t>
            </w:r>
            <w:r>
              <w:rPr>
                <w:rFonts w:hint="eastAsia" w:eastAsia="宋体" w:cs="Arial"/>
                <w:i w:val="0"/>
                <w:iCs w:val="0"/>
                <w:snapToGrid w:val="0"/>
                <w:color w:val="000000"/>
                <w:kern w:val="0"/>
                <w:sz w:val="20"/>
                <w:szCs w:val="20"/>
                <w:highlight w:val="none"/>
                <w:u w:val="none"/>
                <w:lang w:val="en-US" w:eastAsia="zh-CN" w:bidi="ar"/>
              </w:rPr>
              <w:t>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68DF3C">
            <w:pPr>
              <w:keepNext w:val="0"/>
              <w:keepLines w:val="0"/>
              <w:widowControl/>
              <w:suppressLineNumbers w:val="0"/>
              <w:jc w:val="center"/>
              <w:textAlignment w:val="center"/>
              <w:rPr>
                <w:rFonts w:hint="default" w:ascii="宋体" w:hAnsi="宋体" w:eastAsia="宋体" w:cs="宋体"/>
                <w:highlight w:val="none"/>
                <w:lang w:val="en-US" w:bidi="ar"/>
              </w:rPr>
            </w:pPr>
            <w:r>
              <w:rPr>
                <w:rFonts w:hint="eastAsia" w:eastAsia="宋体" w:cs="Arial"/>
                <w:i w:val="0"/>
                <w:iCs w:val="0"/>
                <w:snapToGrid w:val="0"/>
                <w:color w:val="000000"/>
                <w:kern w:val="0"/>
                <w:sz w:val="20"/>
                <w:szCs w:val="20"/>
                <w:highlight w:val="none"/>
                <w:u w:val="none"/>
                <w:lang w:val="en-US" w:eastAsia="zh-CN" w:bidi="ar"/>
              </w:rPr>
              <w:t>98.22</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9760C9">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87.65</w:t>
            </w:r>
          </w:p>
        </w:tc>
      </w:tr>
      <w:tr w14:paraId="0514869C">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68B019">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16</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41164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101005</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C12F32">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康复治疗学</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136E5D">
            <w:pPr>
              <w:keepNext w:val="0"/>
              <w:keepLines w:val="0"/>
              <w:widowControl/>
              <w:suppressLineNumbers w:val="0"/>
              <w:jc w:val="center"/>
              <w:textAlignment w:val="center"/>
              <w:rPr>
                <w:rFonts w:hint="default" w:ascii="宋体" w:hAnsi="宋体" w:eastAsia="宋体" w:cs="宋体"/>
                <w:highlight w:val="none"/>
                <w:lang w:val="en-US" w:bidi="ar"/>
              </w:rPr>
            </w:pPr>
            <w:r>
              <w:rPr>
                <w:rFonts w:hint="default" w:ascii="Arial" w:hAnsi="Arial" w:eastAsia="宋体" w:cs="Arial"/>
                <w:i w:val="0"/>
                <w:iCs w:val="0"/>
                <w:snapToGrid w:val="0"/>
                <w:color w:val="000000"/>
                <w:kern w:val="0"/>
                <w:sz w:val="20"/>
                <w:szCs w:val="20"/>
                <w:highlight w:val="none"/>
                <w:u w:val="none"/>
                <w:lang w:val="en-US" w:eastAsia="zh-CN" w:bidi="ar"/>
              </w:rPr>
              <w:t>9</w:t>
            </w:r>
            <w:r>
              <w:rPr>
                <w:rFonts w:hint="eastAsia" w:eastAsia="宋体" w:cs="Arial"/>
                <w:i w:val="0"/>
                <w:iCs w:val="0"/>
                <w:snapToGrid w:val="0"/>
                <w:color w:val="000000"/>
                <w:kern w:val="0"/>
                <w:sz w:val="20"/>
                <w:szCs w:val="20"/>
                <w:highlight w:val="none"/>
                <w:u w:val="none"/>
                <w:lang w:val="en-US" w:eastAsia="zh-CN" w:bidi="ar"/>
              </w:rPr>
              <w:t>8.00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823100">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w:t>
            </w:r>
            <w:r>
              <w:rPr>
                <w:rFonts w:hint="eastAsia" w:eastAsia="宋体" w:cs="Arial"/>
                <w:i w:val="0"/>
                <w:iCs w:val="0"/>
                <w:snapToGrid w:val="0"/>
                <w:color w:val="000000"/>
                <w:kern w:val="0"/>
                <w:sz w:val="20"/>
                <w:szCs w:val="20"/>
                <w:highlight w:val="none"/>
                <w:u w:val="none"/>
                <w:lang w:val="en-US" w:eastAsia="zh-CN" w:bidi="ar"/>
              </w:rPr>
              <w:t>7.1</w:t>
            </w:r>
            <w:r>
              <w:rPr>
                <w:rFonts w:hint="default" w:ascii="Arial" w:hAnsi="Arial" w:eastAsia="宋体" w:cs="Arial"/>
                <w:i w:val="0"/>
                <w:iCs w:val="0"/>
                <w:snapToGrid w:val="0"/>
                <w:color w:val="000000"/>
                <w:kern w:val="0"/>
                <w:sz w:val="20"/>
                <w:szCs w:val="20"/>
                <w:highlight w:val="none"/>
                <w:u w:val="none"/>
                <w:lang w:val="en-US" w:eastAsia="zh-CN" w:bidi="ar"/>
              </w:rPr>
              <w:t>2</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9406D4">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87.25</w:t>
            </w:r>
          </w:p>
        </w:tc>
      </w:tr>
      <w:tr w14:paraId="227E32AD">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76EAA1">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17</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DC9461">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101101K</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B7C099">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护理学</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879681">
            <w:pPr>
              <w:keepNext w:val="0"/>
              <w:keepLines w:val="0"/>
              <w:widowControl/>
              <w:suppressLineNumbers w:val="0"/>
              <w:jc w:val="center"/>
              <w:textAlignment w:val="center"/>
              <w:rPr>
                <w:rFonts w:hint="default" w:ascii="宋体" w:hAnsi="宋体" w:eastAsia="宋体" w:cs="宋体"/>
                <w:highlight w:val="none"/>
                <w:lang w:val="en-US" w:bidi="ar"/>
              </w:rPr>
            </w:pPr>
            <w:r>
              <w:rPr>
                <w:rFonts w:hint="default" w:ascii="Arial" w:hAnsi="Arial" w:eastAsia="宋体" w:cs="Arial"/>
                <w:i w:val="0"/>
                <w:iCs w:val="0"/>
                <w:snapToGrid w:val="0"/>
                <w:color w:val="000000"/>
                <w:kern w:val="0"/>
                <w:sz w:val="20"/>
                <w:szCs w:val="20"/>
                <w:highlight w:val="none"/>
                <w:u w:val="none"/>
                <w:lang w:val="en-US" w:eastAsia="zh-CN" w:bidi="ar"/>
              </w:rPr>
              <w:t>99.</w:t>
            </w:r>
            <w:r>
              <w:rPr>
                <w:rFonts w:hint="eastAsia" w:eastAsia="宋体" w:cs="Arial"/>
                <w:i w:val="0"/>
                <w:iCs w:val="0"/>
                <w:snapToGrid w:val="0"/>
                <w:color w:val="000000"/>
                <w:kern w:val="0"/>
                <w:sz w:val="20"/>
                <w:szCs w:val="20"/>
                <w:highlight w:val="none"/>
                <w:u w:val="none"/>
                <w:lang w:val="en-US" w:eastAsia="zh-CN" w:bidi="ar"/>
              </w:rPr>
              <w:t>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D129FE4">
            <w:pPr>
              <w:keepNext w:val="0"/>
              <w:keepLines w:val="0"/>
              <w:widowControl/>
              <w:suppressLineNumbers w:val="0"/>
              <w:jc w:val="center"/>
              <w:textAlignment w:val="center"/>
              <w:rPr>
                <w:rFonts w:hint="default" w:ascii="宋体" w:hAnsi="宋体" w:eastAsia="宋体" w:cs="宋体"/>
                <w:highlight w:val="none"/>
                <w:lang w:val="en-US" w:bidi="ar"/>
              </w:rPr>
            </w:pPr>
            <w:r>
              <w:rPr>
                <w:rFonts w:hint="default" w:ascii="Arial" w:hAnsi="Arial" w:eastAsia="宋体" w:cs="Arial"/>
                <w:i w:val="0"/>
                <w:iCs w:val="0"/>
                <w:snapToGrid w:val="0"/>
                <w:color w:val="000000"/>
                <w:kern w:val="0"/>
                <w:sz w:val="20"/>
                <w:szCs w:val="20"/>
                <w:highlight w:val="none"/>
                <w:u w:val="none"/>
                <w:lang w:val="en-US" w:eastAsia="zh-CN" w:bidi="ar"/>
              </w:rPr>
              <w:t>97.</w:t>
            </w:r>
            <w:r>
              <w:rPr>
                <w:rFonts w:hint="eastAsia" w:eastAsia="宋体" w:cs="Arial"/>
                <w:i w:val="0"/>
                <w:iCs w:val="0"/>
                <w:snapToGrid w:val="0"/>
                <w:color w:val="000000"/>
                <w:kern w:val="0"/>
                <w:sz w:val="20"/>
                <w:szCs w:val="20"/>
                <w:highlight w:val="none"/>
                <w:u w:val="none"/>
                <w:lang w:val="en-US" w:eastAsia="zh-CN" w:bidi="ar"/>
              </w:rPr>
              <w:t>14</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0200E0">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87.32</w:t>
            </w:r>
          </w:p>
        </w:tc>
      </w:tr>
      <w:tr w14:paraId="204EFBE0">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075BF7">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18</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04DE1F">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101102TK</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59DACE">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助产学</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F6BC20B">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1EAA33">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439B24">
            <w:pPr>
              <w:keepNext w:val="0"/>
              <w:keepLines w:val="0"/>
              <w:widowControl/>
              <w:suppressLineNumbers w:val="0"/>
              <w:jc w:val="center"/>
              <w:textAlignment w:val="center"/>
              <w:rPr>
                <w:sz w:val="21"/>
                <w:szCs w:val="21"/>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91.8</w:t>
            </w:r>
          </w:p>
        </w:tc>
      </w:tr>
      <w:tr w14:paraId="6FC0CA36">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C1DB68">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19</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3B6798">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120105</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4D6749">
            <w:pPr>
              <w:keepNext w:val="0"/>
              <w:keepLines w:val="0"/>
              <w:widowControl/>
              <w:suppressLineNumbers w:val="0"/>
              <w:jc w:val="center"/>
              <w:textAlignment w:val="center"/>
              <w:rPr>
                <w:rFonts w:ascii="宋体" w:hAnsi="宋体" w:eastAsia="宋体" w:cs="宋体"/>
                <w:highlight w:val="none"/>
                <w:lang w:eastAsia="zh-CN" w:bidi="ar"/>
              </w:rPr>
            </w:pPr>
            <w:r>
              <w:rPr>
                <w:rFonts w:hint="default" w:ascii="Arial" w:hAnsi="Arial" w:eastAsia="宋体" w:cs="Arial"/>
                <w:i w:val="0"/>
                <w:iCs w:val="0"/>
                <w:snapToGrid w:val="0"/>
                <w:color w:val="000000"/>
                <w:kern w:val="0"/>
                <w:sz w:val="20"/>
                <w:szCs w:val="20"/>
                <w:highlight w:val="none"/>
                <w:u w:val="none"/>
                <w:lang w:val="en-US" w:eastAsia="zh-CN" w:bidi="ar"/>
              </w:rPr>
              <w:t>工程造价</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79676A">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71EAC2">
            <w:pPr>
              <w:keepNext w:val="0"/>
              <w:keepLines w:val="0"/>
              <w:widowControl/>
              <w:suppressLineNumbers w:val="0"/>
              <w:jc w:val="center"/>
              <w:textAlignment w:val="center"/>
              <w:rPr>
                <w:rFonts w:ascii="宋体" w:hAnsi="宋体" w:eastAsia="宋体" w:cs="宋体"/>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96.43</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BAD9C3">
            <w:pPr>
              <w:keepNext w:val="0"/>
              <w:keepLines w:val="0"/>
              <w:widowControl/>
              <w:suppressLineNumbers w:val="0"/>
              <w:jc w:val="center"/>
              <w:textAlignment w:val="center"/>
              <w:rPr>
                <w:sz w:val="21"/>
                <w:szCs w:val="21"/>
                <w:highlight w:val="none"/>
                <w:lang w:bidi="ar"/>
              </w:rPr>
            </w:pPr>
            <w:r>
              <w:rPr>
                <w:rFonts w:hint="default" w:ascii="Arial" w:hAnsi="Arial" w:eastAsia="宋体" w:cs="Arial"/>
                <w:i w:val="0"/>
                <w:iCs w:val="0"/>
                <w:snapToGrid w:val="0"/>
                <w:color w:val="000000"/>
                <w:kern w:val="0"/>
                <w:sz w:val="20"/>
                <w:szCs w:val="20"/>
                <w:highlight w:val="none"/>
                <w:u w:val="none"/>
                <w:lang w:val="en-US" w:eastAsia="zh-CN" w:bidi="ar"/>
              </w:rPr>
              <w:t>87.5</w:t>
            </w:r>
          </w:p>
        </w:tc>
      </w:tr>
      <w:tr w14:paraId="625A667F">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ACF020">
            <w:pPr>
              <w:keepNext w:val="0"/>
              <w:keepLines w:val="0"/>
              <w:widowControl/>
              <w:suppressLineNumbers w:val="0"/>
              <w:jc w:val="center"/>
              <w:textAlignment w:val="center"/>
              <w:rPr>
                <w:rFonts w:hint="default" w:ascii="宋体" w:hAnsi="宋体" w:eastAsia="宋体" w:cs="宋体"/>
                <w:highlight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20</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EC28F5">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120202</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2A44F9">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市场营销</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2E368A">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EB9634">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E19214">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88.89</w:t>
            </w:r>
          </w:p>
        </w:tc>
      </w:tr>
      <w:tr w14:paraId="2D54A31B">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D99B81">
            <w:pPr>
              <w:keepNext w:val="0"/>
              <w:keepLines w:val="0"/>
              <w:widowControl/>
              <w:suppressLineNumbers w:val="0"/>
              <w:jc w:val="center"/>
              <w:textAlignment w:val="center"/>
              <w:rPr>
                <w:rFonts w:hint="default" w:ascii="宋体" w:hAnsi="宋体" w:eastAsia="宋体" w:cs="宋体"/>
                <w:highlight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21</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F71A70">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120204</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C342D1">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财务管理</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0D2772">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2C1F73">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99.16</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609C96">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85.71</w:t>
            </w:r>
          </w:p>
        </w:tc>
      </w:tr>
      <w:tr w14:paraId="19E31383">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582E7B">
            <w:pPr>
              <w:keepNext w:val="0"/>
              <w:keepLines w:val="0"/>
              <w:widowControl/>
              <w:suppressLineNumbers w:val="0"/>
              <w:jc w:val="center"/>
              <w:textAlignment w:val="center"/>
              <w:rPr>
                <w:rFonts w:hint="default" w:ascii="宋体" w:hAnsi="宋体" w:eastAsia="宋体" w:cs="宋体"/>
                <w:highlight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22</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50EDE5B">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120601</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00C012">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物流管理</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A41348A">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39154E">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3392CC">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85.29</w:t>
            </w:r>
          </w:p>
        </w:tc>
      </w:tr>
      <w:tr w14:paraId="13198214">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EB49F8">
            <w:pPr>
              <w:keepNext w:val="0"/>
              <w:keepLines w:val="0"/>
              <w:widowControl/>
              <w:suppressLineNumbers w:val="0"/>
              <w:jc w:val="center"/>
              <w:textAlignment w:val="center"/>
              <w:rPr>
                <w:rFonts w:hint="default" w:ascii="宋体" w:hAnsi="宋体" w:eastAsia="宋体" w:cs="宋体"/>
                <w:highlight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23</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2C2F3B">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130204</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F21445">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舞蹈表演</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1D6FE46">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eastAsia" w:eastAsia="宋体" w:cs="Arial"/>
                <w:i w:val="0"/>
                <w:iCs w:val="0"/>
                <w:snapToGrid w:val="0"/>
                <w:color w:val="000000"/>
                <w:kern w:val="0"/>
                <w:sz w:val="20"/>
                <w:szCs w:val="20"/>
                <w:highlight w:val="none"/>
                <w:u w:val="none"/>
                <w:lang w:val="en-US" w:eastAsia="zh-CN" w:bidi="ar"/>
              </w:rPr>
              <w:t>98</w:t>
            </w:r>
            <w:r>
              <w:rPr>
                <w:rFonts w:hint="default" w:ascii="Arial" w:hAnsi="Arial" w:eastAsia="宋体" w:cs="Arial"/>
                <w:i w:val="0"/>
                <w:iCs w:val="0"/>
                <w:snapToGrid w:val="0"/>
                <w:color w:val="000000"/>
                <w:kern w:val="0"/>
                <w:sz w:val="20"/>
                <w:szCs w:val="20"/>
                <w:highlight w:val="none"/>
                <w:u w:val="none"/>
                <w:lang w:val="en-US" w:eastAsia="zh-CN" w:bidi="ar"/>
              </w:rPr>
              <w:t>.00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C19923">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9</w:t>
            </w:r>
            <w:r>
              <w:rPr>
                <w:rFonts w:hint="eastAsia" w:eastAsia="宋体" w:cs="Arial"/>
                <w:i w:val="0"/>
                <w:iCs w:val="0"/>
                <w:snapToGrid w:val="0"/>
                <w:color w:val="000000"/>
                <w:kern w:val="0"/>
                <w:sz w:val="20"/>
                <w:szCs w:val="20"/>
                <w:highlight w:val="none"/>
                <w:u w:val="none"/>
                <w:lang w:val="en-US" w:eastAsia="zh-CN" w:bidi="ar"/>
              </w:rPr>
              <w:t>5.74</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0999E4">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76.09</w:t>
            </w:r>
          </w:p>
        </w:tc>
      </w:tr>
      <w:tr w14:paraId="7ED83DF4">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81AFA9">
            <w:pPr>
              <w:keepNext w:val="0"/>
              <w:keepLines w:val="0"/>
              <w:widowControl/>
              <w:suppressLineNumbers w:val="0"/>
              <w:jc w:val="center"/>
              <w:textAlignment w:val="center"/>
              <w:rPr>
                <w:rFonts w:hint="default" w:ascii="宋体" w:hAnsi="宋体" w:eastAsia="宋体" w:cs="宋体"/>
                <w:highlight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24</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2433CB">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130402</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E48B0B">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绘画</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27CE28">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9</w:t>
            </w:r>
            <w:r>
              <w:rPr>
                <w:rFonts w:hint="eastAsia" w:eastAsia="宋体" w:cs="Arial"/>
                <w:i w:val="0"/>
                <w:iCs w:val="0"/>
                <w:snapToGrid w:val="0"/>
                <w:color w:val="000000"/>
                <w:kern w:val="0"/>
                <w:sz w:val="20"/>
                <w:szCs w:val="20"/>
                <w:highlight w:val="none"/>
                <w:u w:val="none"/>
                <w:lang w:val="en-US" w:eastAsia="zh-CN" w:bidi="ar"/>
              </w:rPr>
              <w:t>7.00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BC1529">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96.67</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82F845">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100</w:t>
            </w:r>
          </w:p>
        </w:tc>
      </w:tr>
      <w:tr w14:paraId="40116A74">
        <w:tblPrEx>
          <w:tblCellMar>
            <w:top w:w="0" w:type="dxa"/>
            <w:left w:w="0" w:type="dxa"/>
            <w:bottom w:w="0" w:type="dxa"/>
            <w:right w:w="0" w:type="dxa"/>
          </w:tblCellMar>
        </w:tblPrEx>
        <w:trPr>
          <w:trHeight w:val="397" w:hRule="atLeast"/>
          <w:jc w:val="center"/>
        </w:trPr>
        <w:tc>
          <w:tcPr>
            <w:tcW w:w="6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D539C5">
            <w:pPr>
              <w:keepNext w:val="0"/>
              <w:keepLines w:val="0"/>
              <w:widowControl/>
              <w:suppressLineNumbers w:val="0"/>
              <w:jc w:val="center"/>
              <w:textAlignment w:val="center"/>
              <w:rPr>
                <w:rFonts w:hint="eastAsia" w:ascii="宋体" w:hAnsi="宋体" w:eastAsia="宋体" w:cs="宋体"/>
                <w:highlight w:val="none"/>
                <w:lang w:val="en-US" w:eastAsia="zh-CN" w:bidi="ar"/>
              </w:rPr>
            </w:pPr>
            <w:r>
              <w:rPr>
                <w:rFonts w:hint="default" w:ascii="Arial" w:hAnsi="Arial" w:eastAsia="宋体" w:cs="Arial"/>
                <w:i w:val="0"/>
                <w:iCs w:val="0"/>
                <w:snapToGrid w:val="0"/>
                <w:color w:val="000000"/>
                <w:kern w:val="0"/>
                <w:sz w:val="20"/>
                <w:szCs w:val="20"/>
                <w:highlight w:val="none"/>
                <w:u w:val="none"/>
                <w:lang w:val="en-US" w:eastAsia="zh-CN" w:bidi="ar"/>
              </w:rPr>
              <w:t>25</w:t>
            </w:r>
          </w:p>
        </w:tc>
        <w:tc>
          <w:tcPr>
            <w:tcW w:w="145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123C55">
            <w:pPr>
              <w:keepNext w:val="0"/>
              <w:keepLines w:val="0"/>
              <w:widowControl/>
              <w:suppressLineNumbers w:val="0"/>
              <w:jc w:val="center"/>
              <w:textAlignment w:val="center"/>
              <w:rPr>
                <w:rFonts w:hint="default" w:ascii="Arial" w:hAnsi="Arial" w:eastAsia="Arial"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0"/>
                <w:szCs w:val="20"/>
                <w:highlight w:val="none"/>
                <w:u w:val="none"/>
                <w:lang w:val="en-US" w:eastAsia="zh-CN" w:bidi="ar"/>
              </w:rPr>
              <w:t>130502</w:t>
            </w:r>
          </w:p>
        </w:tc>
        <w:tc>
          <w:tcPr>
            <w:tcW w:w="22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83A993">
            <w:pPr>
              <w:keepNext w:val="0"/>
              <w:keepLines w:val="0"/>
              <w:widowControl/>
              <w:suppressLineNumbers w:val="0"/>
              <w:jc w:val="center"/>
              <w:textAlignment w:val="center"/>
              <w:rPr>
                <w:rFonts w:hint="default" w:ascii="Arial" w:hAnsi="Arial" w:eastAsia="Arial"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0"/>
                <w:szCs w:val="20"/>
                <w:highlight w:val="none"/>
                <w:u w:val="none"/>
                <w:lang w:val="en-US" w:eastAsia="zh-CN" w:bidi="ar"/>
              </w:rPr>
              <w:t>视觉传达设计</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9DEEB6">
            <w:pPr>
              <w:keepNext w:val="0"/>
              <w:keepLines w:val="0"/>
              <w:widowControl/>
              <w:suppressLineNumbers w:val="0"/>
              <w:jc w:val="center"/>
              <w:textAlignment w:val="center"/>
              <w:rPr>
                <w:rFonts w:hint="default" w:ascii="Arial" w:hAnsi="Arial" w:eastAsia="Arial"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0"/>
                <w:szCs w:val="20"/>
                <w:highlight w:val="none"/>
                <w:u w:val="none"/>
                <w:lang w:val="en-US" w:eastAsia="zh-CN" w:bidi="ar"/>
              </w:rPr>
              <w:t>100.00</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49B199">
            <w:pPr>
              <w:keepNext w:val="0"/>
              <w:keepLines w:val="0"/>
              <w:widowControl/>
              <w:suppressLineNumbers w:val="0"/>
              <w:jc w:val="center"/>
              <w:textAlignment w:val="center"/>
              <w:rPr>
                <w:rFonts w:hint="default" w:ascii="Arial" w:hAnsi="Arial" w:eastAsia="Arial"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0"/>
                <w:szCs w:val="20"/>
                <w:highlight w:val="none"/>
                <w:u w:val="none"/>
                <w:lang w:val="en-US" w:eastAsia="zh-CN" w:bidi="ar"/>
              </w:rPr>
              <w:t>98.78</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F97B09">
            <w:pPr>
              <w:keepNext w:val="0"/>
              <w:keepLines w:val="0"/>
              <w:widowControl/>
              <w:suppressLineNumbers w:val="0"/>
              <w:jc w:val="center"/>
              <w:textAlignment w:val="center"/>
              <w:rPr>
                <w:rFonts w:hint="default" w:ascii="Arial" w:hAnsi="Arial" w:eastAsia="Arial"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0"/>
                <w:szCs w:val="20"/>
                <w:highlight w:val="none"/>
                <w:u w:val="none"/>
                <w:lang w:val="en-US" w:eastAsia="zh-CN" w:bidi="ar"/>
              </w:rPr>
              <w:t>91.46</w:t>
            </w:r>
          </w:p>
        </w:tc>
      </w:tr>
      <w:tr w14:paraId="20416A79">
        <w:tblPrEx>
          <w:tblCellMar>
            <w:top w:w="0" w:type="dxa"/>
            <w:left w:w="0" w:type="dxa"/>
            <w:bottom w:w="0" w:type="dxa"/>
            <w:right w:w="0" w:type="dxa"/>
          </w:tblCellMar>
        </w:tblPrEx>
        <w:trPr>
          <w:trHeight w:val="397" w:hRule="atLeast"/>
          <w:jc w:val="center"/>
        </w:trPr>
        <w:tc>
          <w:tcPr>
            <w:tcW w:w="4335" w:type="dxa"/>
            <w:gridSpan w:val="3"/>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4D0F65">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eastAsia" w:eastAsia="宋体" w:cs="Arial"/>
                <w:i w:val="0"/>
                <w:iCs w:val="0"/>
                <w:snapToGrid w:val="0"/>
                <w:color w:val="000000"/>
                <w:kern w:val="0"/>
                <w:sz w:val="20"/>
                <w:szCs w:val="20"/>
                <w:highlight w:val="none"/>
                <w:u w:val="none"/>
                <w:lang w:val="en-US" w:eastAsia="zh-CN" w:bidi="ar"/>
              </w:rPr>
              <w:t>全校整体</w:t>
            </w:r>
          </w:p>
        </w:tc>
        <w:tc>
          <w:tcPr>
            <w:tcW w:w="148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9C79D6">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eastAsia" w:eastAsia="宋体" w:cs="Arial"/>
                <w:i w:val="0"/>
                <w:iCs w:val="0"/>
                <w:snapToGrid w:val="0"/>
                <w:color w:val="000000"/>
                <w:kern w:val="0"/>
                <w:sz w:val="20"/>
                <w:szCs w:val="20"/>
                <w:highlight w:val="none"/>
                <w:u w:val="none"/>
                <w:lang w:val="en-US" w:eastAsia="zh-CN" w:bidi="ar"/>
              </w:rPr>
              <w:t>99.27</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748DCC">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eastAsia" w:eastAsia="宋体" w:cs="Arial"/>
                <w:i w:val="0"/>
                <w:iCs w:val="0"/>
                <w:snapToGrid w:val="0"/>
                <w:color w:val="000000"/>
                <w:kern w:val="0"/>
                <w:sz w:val="20"/>
                <w:szCs w:val="20"/>
                <w:highlight w:val="none"/>
                <w:u w:val="none"/>
                <w:lang w:val="en-US" w:eastAsia="zh-CN" w:bidi="ar"/>
              </w:rPr>
              <w:t>97.82</w:t>
            </w:r>
          </w:p>
        </w:tc>
        <w:tc>
          <w:tcPr>
            <w:tcW w:w="12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75A4BA1">
            <w:pPr>
              <w:keepNext w:val="0"/>
              <w:keepLines w:val="0"/>
              <w:widowControl/>
              <w:suppressLineNumbers w:val="0"/>
              <w:jc w:val="center"/>
              <w:textAlignment w:val="center"/>
              <w:rPr>
                <w:rFonts w:hint="default" w:ascii="Arial" w:hAnsi="Arial" w:eastAsia="宋体" w:cs="Arial"/>
                <w:i w:val="0"/>
                <w:iCs w:val="0"/>
                <w:snapToGrid w:val="0"/>
                <w:color w:val="000000"/>
                <w:kern w:val="0"/>
                <w:sz w:val="20"/>
                <w:szCs w:val="20"/>
                <w:highlight w:val="none"/>
                <w:u w:val="none"/>
                <w:lang w:val="en-US" w:eastAsia="zh-CN" w:bidi="ar"/>
              </w:rPr>
            </w:pPr>
            <w:r>
              <w:rPr>
                <w:rFonts w:hint="eastAsia" w:eastAsia="宋体" w:cs="Arial"/>
                <w:i w:val="0"/>
                <w:iCs w:val="0"/>
                <w:snapToGrid w:val="0"/>
                <w:color w:val="000000"/>
                <w:kern w:val="0"/>
                <w:sz w:val="20"/>
                <w:szCs w:val="20"/>
                <w:highlight w:val="none"/>
                <w:u w:val="none"/>
                <w:lang w:val="en-US" w:eastAsia="zh-CN" w:bidi="ar"/>
              </w:rPr>
              <w:t>87.98</w:t>
            </w:r>
          </w:p>
        </w:tc>
      </w:tr>
    </w:tbl>
    <w:p w14:paraId="2F52E1C1">
      <w:pPr>
        <w:rPr>
          <w:highlight w:val="none"/>
          <w:lang w:eastAsia="zh-CN"/>
        </w:rPr>
      </w:pPr>
      <w:r>
        <w:rPr>
          <w:highlight w:val="none"/>
          <w:lang w:eastAsia="zh-CN"/>
        </w:rPr>
        <w:br w:type="page"/>
      </w:r>
    </w:p>
    <w:p w14:paraId="59C0AEF6">
      <w:pPr>
        <w:spacing w:line="400" w:lineRule="exact"/>
        <w:ind w:right="323"/>
        <w:rPr>
          <w:rFonts w:ascii="黑体" w:hAnsi="黑体" w:eastAsia="黑体" w:cs="黑体"/>
          <w:bCs/>
          <w:sz w:val="30"/>
          <w:szCs w:val="30"/>
          <w:highlight w:val="none"/>
          <w:lang w:eastAsia="zh-CN"/>
        </w:rPr>
      </w:pPr>
      <w:r>
        <w:rPr>
          <w:rFonts w:hint="eastAsia" w:ascii="黑体" w:hAnsi="黑体" w:eastAsia="黑体" w:cs="黑体"/>
          <w:bCs/>
          <w:sz w:val="30"/>
          <w:szCs w:val="30"/>
          <w:highlight w:val="none"/>
          <w:lang w:eastAsia="zh-CN"/>
        </w:rPr>
        <w:t xml:space="preserve">附表9  </w:t>
      </w:r>
    </w:p>
    <w:p w14:paraId="2833F8AE">
      <w:pPr>
        <w:pStyle w:val="2"/>
        <w:rPr>
          <w:rFonts w:ascii="宋体" w:hAnsi="宋体" w:eastAsia="宋体" w:cs="宋体"/>
          <w:bCs/>
          <w:spacing w:val="9"/>
          <w:kern w:val="0"/>
          <w:sz w:val="28"/>
          <w:szCs w:val="28"/>
          <w:highlight w:val="none"/>
        </w:rPr>
      </w:pPr>
      <w:bookmarkStart w:id="110" w:name="_Toc6089"/>
      <w:bookmarkStart w:id="111" w:name="_Toc19471"/>
      <w:r>
        <w:rPr>
          <w:rFonts w:hint="eastAsia" w:ascii="宋体" w:hAnsi="宋体" w:eastAsia="宋体" w:cs="宋体"/>
          <w:bCs/>
          <w:spacing w:val="9"/>
          <w:kern w:val="0"/>
          <w:sz w:val="28"/>
          <w:szCs w:val="28"/>
          <w:highlight w:val="none"/>
        </w:rPr>
        <w:t>分专业体质测试合格率</w:t>
      </w:r>
      <w:bookmarkEnd w:id="110"/>
      <w:bookmarkEnd w:id="111"/>
    </w:p>
    <w:tbl>
      <w:tblPr>
        <w:tblStyle w:val="20"/>
        <w:tblW w:w="852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741"/>
        <w:gridCol w:w="2376"/>
        <w:gridCol w:w="1504"/>
        <w:gridCol w:w="1504"/>
        <w:gridCol w:w="1397"/>
      </w:tblGrid>
      <w:tr w14:paraId="30B983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79" w:hRule="atLeast"/>
          <w:tblHeader/>
          <w:jc w:val="center"/>
        </w:trPr>
        <w:tc>
          <w:tcPr>
            <w:tcW w:w="1741" w:type="dxa"/>
            <w:vAlign w:val="center"/>
          </w:tcPr>
          <w:p w14:paraId="7EB4F54C">
            <w:pPr>
              <w:widowControl w:val="0"/>
              <w:jc w:val="center"/>
              <w:rPr>
                <w:b/>
                <w:bCs/>
                <w:highlight w:val="none"/>
              </w:rPr>
            </w:pPr>
            <w:r>
              <w:rPr>
                <w:rFonts w:hint="eastAsia" w:ascii="宋体" w:hAnsi="宋体" w:eastAsia="宋体"/>
                <w:b/>
                <w:bCs/>
                <w:highlight w:val="none"/>
              </w:rPr>
              <w:t>专业代码</w:t>
            </w:r>
          </w:p>
        </w:tc>
        <w:tc>
          <w:tcPr>
            <w:tcW w:w="2376" w:type="dxa"/>
            <w:vAlign w:val="center"/>
          </w:tcPr>
          <w:p w14:paraId="6DE824D8">
            <w:pPr>
              <w:widowControl w:val="0"/>
              <w:jc w:val="center"/>
              <w:rPr>
                <w:b/>
                <w:bCs/>
                <w:highlight w:val="none"/>
              </w:rPr>
            </w:pPr>
            <w:r>
              <w:rPr>
                <w:rFonts w:hint="eastAsia" w:ascii="宋体" w:hAnsi="宋体" w:eastAsia="宋体"/>
                <w:b/>
                <w:bCs/>
                <w:highlight w:val="none"/>
              </w:rPr>
              <w:t>专业名称</w:t>
            </w:r>
          </w:p>
        </w:tc>
        <w:tc>
          <w:tcPr>
            <w:tcW w:w="1504" w:type="dxa"/>
            <w:vAlign w:val="center"/>
          </w:tcPr>
          <w:p w14:paraId="4C61EFF2">
            <w:pPr>
              <w:widowControl w:val="0"/>
              <w:jc w:val="center"/>
              <w:rPr>
                <w:b/>
                <w:bCs/>
                <w:highlight w:val="none"/>
              </w:rPr>
            </w:pPr>
            <w:r>
              <w:rPr>
                <w:rFonts w:hint="eastAsia" w:ascii="宋体" w:hAnsi="宋体" w:eastAsia="宋体"/>
                <w:b/>
                <w:bCs/>
                <w:highlight w:val="none"/>
              </w:rPr>
              <w:t>参与测试人数</w:t>
            </w:r>
          </w:p>
        </w:tc>
        <w:tc>
          <w:tcPr>
            <w:tcW w:w="1504" w:type="dxa"/>
            <w:vAlign w:val="center"/>
          </w:tcPr>
          <w:p w14:paraId="3CAD2452">
            <w:pPr>
              <w:widowControl w:val="0"/>
              <w:jc w:val="center"/>
              <w:rPr>
                <w:b/>
                <w:bCs/>
                <w:highlight w:val="none"/>
              </w:rPr>
            </w:pPr>
            <w:r>
              <w:rPr>
                <w:rFonts w:hint="eastAsia" w:ascii="宋体" w:hAnsi="宋体" w:eastAsia="宋体"/>
                <w:b/>
                <w:bCs/>
                <w:highlight w:val="none"/>
              </w:rPr>
              <w:t>测试合格人数</w:t>
            </w:r>
          </w:p>
        </w:tc>
        <w:tc>
          <w:tcPr>
            <w:tcW w:w="1397" w:type="dxa"/>
            <w:vAlign w:val="center"/>
          </w:tcPr>
          <w:p w14:paraId="224E439D">
            <w:pPr>
              <w:widowControl w:val="0"/>
              <w:jc w:val="center"/>
              <w:rPr>
                <w:b/>
                <w:bCs/>
                <w:highlight w:val="none"/>
              </w:rPr>
            </w:pPr>
            <w:r>
              <w:rPr>
                <w:rFonts w:hint="eastAsia" w:ascii="宋体" w:hAnsi="宋体" w:eastAsia="宋体"/>
                <w:b/>
                <w:bCs/>
                <w:highlight w:val="none"/>
              </w:rPr>
              <w:t>合格率（%）</w:t>
            </w:r>
          </w:p>
        </w:tc>
      </w:tr>
      <w:tr w14:paraId="34406D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2779E61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80701</w:t>
            </w:r>
          </w:p>
        </w:tc>
        <w:tc>
          <w:tcPr>
            <w:tcW w:w="2376" w:type="dxa"/>
            <w:vAlign w:val="center"/>
          </w:tcPr>
          <w:p w14:paraId="41F7D43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电子信息工程</w:t>
            </w:r>
          </w:p>
        </w:tc>
        <w:tc>
          <w:tcPr>
            <w:tcW w:w="1504" w:type="dxa"/>
            <w:vAlign w:val="center"/>
          </w:tcPr>
          <w:p w14:paraId="538B270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162</w:t>
            </w:r>
          </w:p>
        </w:tc>
        <w:tc>
          <w:tcPr>
            <w:tcW w:w="1504" w:type="dxa"/>
            <w:vAlign w:val="center"/>
          </w:tcPr>
          <w:p w14:paraId="3E57806C">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157</w:t>
            </w:r>
          </w:p>
        </w:tc>
        <w:tc>
          <w:tcPr>
            <w:tcW w:w="1397" w:type="dxa"/>
            <w:vAlign w:val="center"/>
          </w:tcPr>
          <w:p w14:paraId="72F42E0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96.91%</w:t>
            </w:r>
          </w:p>
        </w:tc>
      </w:tr>
      <w:tr w14:paraId="14796A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48F113F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80901</w:t>
            </w:r>
          </w:p>
        </w:tc>
        <w:tc>
          <w:tcPr>
            <w:tcW w:w="2376" w:type="dxa"/>
            <w:vAlign w:val="center"/>
          </w:tcPr>
          <w:p w14:paraId="2275234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计算机科学与技术</w:t>
            </w:r>
          </w:p>
        </w:tc>
        <w:tc>
          <w:tcPr>
            <w:tcW w:w="1504" w:type="dxa"/>
            <w:vAlign w:val="center"/>
          </w:tcPr>
          <w:p w14:paraId="1F0558C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411</w:t>
            </w:r>
          </w:p>
        </w:tc>
        <w:tc>
          <w:tcPr>
            <w:tcW w:w="1504" w:type="dxa"/>
            <w:vAlign w:val="center"/>
          </w:tcPr>
          <w:p w14:paraId="30A2888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402</w:t>
            </w:r>
          </w:p>
        </w:tc>
        <w:tc>
          <w:tcPr>
            <w:tcW w:w="1397" w:type="dxa"/>
            <w:vAlign w:val="center"/>
          </w:tcPr>
          <w:p w14:paraId="2590040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97.81%</w:t>
            </w:r>
          </w:p>
        </w:tc>
      </w:tr>
      <w:tr w14:paraId="283E7A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3D5C732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080717T</w:t>
            </w:r>
          </w:p>
        </w:tc>
        <w:tc>
          <w:tcPr>
            <w:tcW w:w="2376" w:type="dxa"/>
            <w:vAlign w:val="center"/>
          </w:tcPr>
          <w:p w14:paraId="2B95565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人工智能</w:t>
            </w:r>
          </w:p>
        </w:tc>
        <w:tc>
          <w:tcPr>
            <w:tcW w:w="1504" w:type="dxa"/>
            <w:vAlign w:val="center"/>
          </w:tcPr>
          <w:p w14:paraId="0D0A538B">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199</w:t>
            </w:r>
          </w:p>
        </w:tc>
        <w:tc>
          <w:tcPr>
            <w:tcW w:w="1504" w:type="dxa"/>
            <w:vAlign w:val="center"/>
          </w:tcPr>
          <w:p w14:paraId="2F23B4F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192</w:t>
            </w:r>
          </w:p>
        </w:tc>
        <w:tc>
          <w:tcPr>
            <w:tcW w:w="1397" w:type="dxa"/>
            <w:vAlign w:val="center"/>
          </w:tcPr>
          <w:p w14:paraId="3DDD8903">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96.48%</w:t>
            </w:r>
          </w:p>
        </w:tc>
      </w:tr>
      <w:tr w14:paraId="0B5F8D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DEC430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080910T</w:t>
            </w:r>
          </w:p>
        </w:tc>
        <w:tc>
          <w:tcPr>
            <w:tcW w:w="2376" w:type="dxa"/>
            <w:vAlign w:val="center"/>
          </w:tcPr>
          <w:p w14:paraId="12DF484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数据科学与大数据技术</w:t>
            </w:r>
          </w:p>
        </w:tc>
        <w:tc>
          <w:tcPr>
            <w:tcW w:w="1504" w:type="dxa"/>
            <w:vAlign w:val="center"/>
          </w:tcPr>
          <w:p w14:paraId="09CF82E7">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171</w:t>
            </w:r>
          </w:p>
        </w:tc>
        <w:tc>
          <w:tcPr>
            <w:tcW w:w="1504" w:type="dxa"/>
            <w:vAlign w:val="center"/>
          </w:tcPr>
          <w:p w14:paraId="331058A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163</w:t>
            </w:r>
          </w:p>
        </w:tc>
        <w:tc>
          <w:tcPr>
            <w:tcW w:w="1397" w:type="dxa"/>
            <w:vAlign w:val="center"/>
          </w:tcPr>
          <w:p w14:paraId="5BE1A2DB">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95.32%</w:t>
            </w:r>
          </w:p>
        </w:tc>
      </w:tr>
      <w:tr w14:paraId="33FDF0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ECFFE9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80906</w:t>
            </w:r>
          </w:p>
        </w:tc>
        <w:tc>
          <w:tcPr>
            <w:tcW w:w="2376" w:type="dxa"/>
            <w:vAlign w:val="center"/>
          </w:tcPr>
          <w:p w14:paraId="5D9B33E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数字媒体技术</w:t>
            </w:r>
          </w:p>
        </w:tc>
        <w:tc>
          <w:tcPr>
            <w:tcW w:w="1504" w:type="dxa"/>
            <w:vAlign w:val="center"/>
          </w:tcPr>
          <w:p w14:paraId="5FDEC12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146</w:t>
            </w:r>
          </w:p>
        </w:tc>
        <w:tc>
          <w:tcPr>
            <w:tcW w:w="1504" w:type="dxa"/>
            <w:vAlign w:val="center"/>
          </w:tcPr>
          <w:p w14:paraId="6E8FB08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140</w:t>
            </w:r>
          </w:p>
        </w:tc>
        <w:tc>
          <w:tcPr>
            <w:tcW w:w="1397" w:type="dxa"/>
            <w:vAlign w:val="center"/>
          </w:tcPr>
          <w:p w14:paraId="75B067F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95.89%</w:t>
            </w:r>
          </w:p>
        </w:tc>
      </w:tr>
      <w:tr w14:paraId="424EC4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0B0ADD6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120105</w:t>
            </w:r>
          </w:p>
        </w:tc>
        <w:tc>
          <w:tcPr>
            <w:tcW w:w="2376" w:type="dxa"/>
            <w:vAlign w:val="center"/>
          </w:tcPr>
          <w:p w14:paraId="3D8DC03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工程造价</w:t>
            </w:r>
          </w:p>
        </w:tc>
        <w:tc>
          <w:tcPr>
            <w:tcW w:w="1504" w:type="dxa"/>
            <w:vAlign w:val="center"/>
          </w:tcPr>
          <w:p w14:paraId="08FACAF7">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170</w:t>
            </w:r>
          </w:p>
        </w:tc>
        <w:tc>
          <w:tcPr>
            <w:tcW w:w="1504" w:type="dxa"/>
            <w:vAlign w:val="center"/>
          </w:tcPr>
          <w:p w14:paraId="2D5C7BB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167</w:t>
            </w:r>
          </w:p>
        </w:tc>
        <w:tc>
          <w:tcPr>
            <w:tcW w:w="1397" w:type="dxa"/>
            <w:vAlign w:val="center"/>
          </w:tcPr>
          <w:p w14:paraId="0D857FE7">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98.23%</w:t>
            </w:r>
          </w:p>
        </w:tc>
      </w:tr>
      <w:tr w14:paraId="065C0B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7B6DC48">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81801</w:t>
            </w:r>
          </w:p>
        </w:tc>
        <w:tc>
          <w:tcPr>
            <w:tcW w:w="2376" w:type="dxa"/>
            <w:vAlign w:val="center"/>
          </w:tcPr>
          <w:p w14:paraId="780179C8">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交通运输</w:t>
            </w:r>
          </w:p>
        </w:tc>
        <w:tc>
          <w:tcPr>
            <w:tcW w:w="1504" w:type="dxa"/>
            <w:vAlign w:val="center"/>
          </w:tcPr>
          <w:p w14:paraId="5E84796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226</w:t>
            </w:r>
          </w:p>
        </w:tc>
        <w:tc>
          <w:tcPr>
            <w:tcW w:w="1504" w:type="dxa"/>
            <w:vAlign w:val="center"/>
          </w:tcPr>
          <w:p w14:paraId="5EA738A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211</w:t>
            </w:r>
          </w:p>
        </w:tc>
        <w:tc>
          <w:tcPr>
            <w:tcW w:w="1397" w:type="dxa"/>
            <w:vAlign w:val="center"/>
          </w:tcPr>
          <w:p w14:paraId="3AFDE28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93.36%</w:t>
            </w:r>
          </w:p>
        </w:tc>
      </w:tr>
      <w:tr w14:paraId="1467F9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7FA88EDC">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80208</w:t>
            </w:r>
          </w:p>
        </w:tc>
        <w:tc>
          <w:tcPr>
            <w:tcW w:w="2376" w:type="dxa"/>
            <w:vAlign w:val="center"/>
          </w:tcPr>
          <w:p w14:paraId="6E0160F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汽车服务工程</w:t>
            </w:r>
          </w:p>
        </w:tc>
        <w:tc>
          <w:tcPr>
            <w:tcW w:w="1504" w:type="dxa"/>
            <w:vAlign w:val="center"/>
          </w:tcPr>
          <w:p w14:paraId="3FD092B4">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235</w:t>
            </w:r>
          </w:p>
        </w:tc>
        <w:tc>
          <w:tcPr>
            <w:tcW w:w="1504" w:type="dxa"/>
            <w:vAlign w:val="center"/>
          </w:tcPr>
          <w:p w14:paraId="568520E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222</w:t>
            </w:r>
          </w:p>
        </w:tc>
        <w:tc>
          <w:tcPr>
            <w:tcW w:w="1397" w:type="dxa"/>
            <w:vAlign w:val="center"/>
          </w:tcPr>
          <w:p w14:paraId="420680F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94.46%</w:t>
            </w:r>
          </w:p>
        </w:tc>
      </w:tr>
      <w:tr w14:paraId="78E318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6EE9A623">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81001</w:t>
            </w:r>
          </w:p>
        </w:tc>
        <w:tc>
          <w:tcPr>
            <w:tcW w:w="2376" w:type="dxa"/>
            <w:vAlign w:val="center"/>
          </w:tcPr>
          <w:p w14:paraId="2D4AD1B1">
            <w:pPr>
              <w:keepNext w:val="0"/>
              <w:keepLines w:val="0"/>
              <w:widowControl/>
              <w:suppressLineNumbers w:val="0"/>
              <w:jc w:val="center"/>
              <w:textAlignment w:val="center"/>
              <w:rPr>
                <w:rFonts w:asciiTheme="minorEastAsia" w:hAnsiTheme="minorEastAsia" w:eastAsiaTheme="minorEastAsia" w:cstheme="minorEastAsia"/>
                <w:highlight w:val="none"/>
                <w:lang w:eastAsia="zh-CN"/>
              </w:rPr>
            </w:pPr>
            <w:r>
              <w:rPr>
                <w:rFonts w:hint="eastAsia" w:ascii="宋体" w:hAnsi="宋体" w:eastAsia="宋体" w:cs="宋体"/>
                <w:i w:val="0"/>
                <w:iCs w:val="0"/>
                <w:snapToGrid w:val="0"/>
                <w:color w:val="000000"/>
                <w:kern w:val="0"/>
                <w:sz w:val="22"/>
                <w:szCs w:val="22"/>
                <w:highlight w:val="none"/>
                <w:u w:val="none"/>
                <w:lang w:val="en-US" w:eastAsia="zh-CN" w:bidi="ar"/>
              </w:rPr>
              <w:t>土木工程</w:t>
            </w:r>
          </w:p>
        </w:tc>
        <w:tc>
          <w:tcPr>
            <w:tcW w:w="1504" w:type="dxa"/>
            <w:vAlign w:val="center"/>
          </w:tcPr>
          <w:p w14:paraId="2FCEF56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122</w:t>
            </w:r>
          </w:p>
        </w:tc>
        <w:tc>
          <w:tcPr>
            <w:tcW w:w="1504" w:type="dxa"/>
            <w:vAlign w:val="center"/>
          </w:tcPr>
          <w:p w14:paraId="5A0D9E0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119</w:t>
            </w:r>
          </w:p>
        </w:tc>
        <w:tc>
          <w:tcPr>
            <w:tcW w:w="1397" w:type="dxa"/>
            <w:vAlign w:val="center"/>
          </w:tcPr>
          <w:p w14:paraId="1CA34F99">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97.54%</w:t>
            </w:r>
          </w:p>
        </w:tc>
      </w:tr>
      <w:tr w14:paraId="40F66F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54" w:hRule="atLeast"/>
          <w:jc w:val="center"/>
        </w:trPr>
        <w:tc>
          <w:tcPr>
            <w:tcW w:w="1741" w:type="dxa"/>
            <w:vAlign w:val="center"/>
          </w:tcPr>
          <w:p w14:paraId="6A83E5C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120601</w:t>
            </w:r>
          </w:p>
        </w:tc>
        <w:tc>
          <w:tcPr>
            <w:tcW w:w="2376" w:type="dxa"/>
            <w:vAlign w:val="center"/>
          </w:tcPr>
          <w:p w14:paraId="7AA46B2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物流管理</w:t>
            </w:r>
          </w:p>
        </w:tc>
        <w:tc>
          <w:tcPr>
            <w:tcW w:w="1504" w:type="dxa"/>
            <w:vAlign w:val="center"/>
          </w:tcPr>
          <w:p w14:paraId="2B6CCA73">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92</w:t>
            </w:r>
          </w:p>
        </w:tc>
        <w:tc>
          <w:tcPr>
            <w:tcW w:w="1504" w:type="dxa"/>
            <w:vAlign w:val="center"/>
          </w:tcPr>
          <w:p w14:paraId="5EFE7D4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87</w:t>
            </w:r>
          </w:p>
        </w:tc>
        <w:tc>
          <w:tcPr>
            <w:tcW w:w="1397" w:type="dxa"/>
            <w:vAlign w:val="center"/>
          </w:tcPr>
          <w:p w14:paraId="6DE69A09">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94.56%</w:t>
            </w:r>
          </w:p>
        </w:tc>
      </w:tr>
      <w:tr w14:paraId="5C1396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68637F3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101101K</w:t>
            </w:r>
          </w:p>
        </w:tc>
        <w:tc>
          <w:tcPr>
            <w:tcW w:w="2376" w:type="dxa"/>
            <w:vAlign w:val="center"/>
          </w:tcPr>
          <w:p w14:paraId="70FCA9C7">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护理学</w:t>
            </w:r>
          </w:p>
        </w:tc>
        <w:tc>
          <w:tcPr>
            <w:tcW w:w="1504" w:type="dxa"/>
            <w:vAlign w:val="center"/>
          </w:tcPr>
          <w:p w14:paraId="04B90E3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732</w:t>
            </w:r>
          </w:p>
        </w:tc>
        <w:tc>
          <w:tcPr>
            <w:tcW w:w="1504" w:type="dxa"/>
            <w:vAlign w:val="center"/>
          </w:tcPr>
          <w:p w14:paraId="27EF4A6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711</w:t>
            </w:r>
          </w:p>
        </w:tc>
        <w:tc>
          <w:tcPr>
            <w:tcW w:w="1397" w:type="dxa"/>
            <w:vAlign w:val="center"/>
          </w:tcPr>
          <w:p w14:paraId="5A4A9A1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97.13%</w:t>
            </w:r>
          </w:p>
        </w:tc>
      </w:tr>
      <w:tr w14:paraId="6D52F9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2FACD94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120204</w:t>
            </w:r>
          </w:p>
        </w:tc>
        <w:tc>
          <w:tcPr>
            <w:tcW w:w="2376" w:type="dxa"/>
            <w:vAlign w:val="center"/>
          </w:tcPr>
          <w:p w14:paraId="106037D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财务管理</w:t>
            </w:r>
          </w:p>
        </w:tc>
        <w:tc>
          <w:tcPr>
            <w:tcW w:w="1504" w:type="dxa"/>
            <w:vAlign w:val="center"/>
          </w:tcPr>
          <w:p w14:paraId="2D64259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377</w:t>
            </w:r>
          </w:p>
        </w:tc>
        <w:tc>
          <w:tcPr>
            <w:tcW w:w="1504" w:type="dxa"/>
            <w:vAlign w:val="center"/>
          </w:tcPr>
          <w:p w14:paraId="79A8F98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366</w:t>
            </w:r>
          </w:p>
        </w:tc>
        <w:tc>
          <w:tcPr>
            <w:tcW w:w="1397" w:type="dxa"/>
            <w:vAlign w:val="center"/>
          </w:tcPr>
          <w:p w14:paraId="5FC55D79">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97.08%</w:t>
            </w:r>
          </w:p>
        </w:tc>
      </w:tr>
      <w:tr w14:paraId="3B54F1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05020D89">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50103</w:t>
            </w:r>
          </w:p>
        </w:tc>
        <w:tc>
          <w:tcPr>
            <w:tcW w:w="2376" w:type="dxa"/>
            <w:vAlign w:val="center"/>
          </w:tcPr>
          <w:p w14:paraId="17303F5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汉语国际教育</w:t>
            </w:r>
          </w:p>
        </w:tc>
        <w:tc>
          <w:tcPr>
            <w:tcW w:w="1504" w:type="dxa"/>
            <w:vAlign w:val="center"/>
          </w:tcPr>
          <w:p w14:paraId="1334082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200</w:t>
            </w:r>
          </w:p>
        </w:tc>
        <w:tc>
          <w:tcPr>
            <w:tcW w:w="1504" w:type="dxa"/>
            <w:vAlign w:val="center"/>
          </w:tcPr>
          <w:p w14:paraId="518F4D1C">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198</w:t>
            </w:r>
          </w:p>
        </w:tc>
        <w:tc>
          <w:tcPr>
            <w:tcW w:w="1397" w:type="dxa"/>
            <w:vAlign w:val="center"/>
          </w:tcPr>
          <w:p w14:paraId="497539A3">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99.00%</w:t>
            </w:r>
          </w:p>
        </w:tc>
      </w:tr>
      <w:tr w14:paraId="587C2A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7CCA831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130402</w:t>
            </w:r>
          </w:p>
        </w:tc>
        <w:tc>
          <w:tcPr>
            <w:tcW w:w="2376" w:type="dxa"/>
            <w:vAlign w:val="center"/>
          </w:tcPr>
          <w:p w14:paraId="530AB8EC">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绘画</w:t>
            </w:r>
          </w:p>
        </w:tc>
        <w:tc>
          <w:tcPr>
            <w:tcW w:w="1504" w:type="dxa"/>
            <w:vAlign w:val="center"/>
          </w:tcPr>
          <w:p w14:paraId="75E14124">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168</w:t>
            </w:r>
          </w:p>
        </w:tc>
        <w:tc>
          <w:tcPr>
            <w:tcW w:w="1504" w:type="dxa"/>
            <w:vAlign w:val="center"/>
          </w:tcPr>
          <w:p w14:paraId="7584754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159</w:t>
            </w:r>
          </w:p>
        </w:tc>
        <w:tc>
          <w:tcPr>
            <w:tcW w:w="1397" w:type="dxa"/>
            <w:vAlign w:val="center"/>
          </w:tcPr>
          <w:p w14:paraId="75CEE3A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94.64%</w:t>
            </w:r>
          </w:p>
        </w:tc>
      </w:tr>
      <w:tr w14:paraId="19FBE5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3B9ECAA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120202</w:t>
            </w:r>
          </w:p>
        </w:tc>
        <w:tc>
          <w:tcPr>
            <w:tcW w:w="2376" w:type="dxa"/>
            <w:vAlign w:val="center"/>
          </w:tcPr>
          <w:p w14:paraId="684FD7F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市场营销</w:t>
            </w:r>
          </w:p>
        </w:tc>
        <w:tc>
          <w:tcPr>
            <w:tcW w:w="1504" w:type="dxa"/>
            <w:vAlign w:val="center"/>
          </w:tcPr>
          <w:p w14:paraId="0335A16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141</w:t>
            </w:r>
          </w:p>
        </w:tc>
        <w:tc>
          <w:tcPr>
            <w:tcW w:w="1504" w:type="dxa"/>
            <w:vAlign w:val="center"/>
          </w:tcPr>
          <w:p w14:paraId="5130EF1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140</w:t>
            </w:r>
          </w:p>
        </w:tc>
        <w:tc>
          <w:tcPr>
            <w:tcW w:w="1397" w:type="dxa"/>
            <w:vAlign w:val="center"/>
          </w:tcPr>
          <w:p w14:paraId="6FA12BC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99.29%</w:t>
            </w:r>
          </w:p>
        </w:tc>
      </w:tr>
      <w:tr w14:paraId="78D6D9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91B92A8">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130502</w:t>
            </w:r>
          </w:p>
        </w:tc>
        <w:tc>
          <w:tcPr>
            <w:tcW w:w="2376" w:type="dxa"/>
            <w:vAlign w:val="center"/>
          </w:tcPr>
          <w:p w14:paraId="3CC5829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视觉传达设计</w:t>
            </w:r>
          </w:p>
        </w:tc>
        <w:tc>
          <w:tcPr>
            <w:tcW w:w="1504" w:type="dxa"/>
            <w:vAlign w:val="center"/>
          </w:tcPr>
          <w:p w14:paraId="3A61A9D1">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302</w:t>
            </w:r>
          </w:p>
        </w:tc>
        <w:tc>
          <w:tcPr>
            <w:tcW w:w="1504" w:type="dxa"/>
            <w:vAlign w:val="center"/>
          </w:tcPr>
          <w:p w14:paraId="582910C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292</w:t>
            </w:r>
          </w:p>
        </w:tc>
        <w:tc>
          <w:tcPr>
            <w:tcW w:w="1397" w:type="dxa"/>
            <w:vAlign w:val="center"/>
          </w:tcPr>
          <w:p w14:paraId="28B8176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96.68%</w:t>
            </w:r>
          </w:p>
        </w:tc>
      </w:tr>
      <w:tr w14:paraId="053874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4459A11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130204</w:t>
            </w:r>
          </w:p>
        </w:tc>
        <w:tc>
          <w:tcPr>
            <w:tcW w:w="2376" w:type="dxa"/>
            <w:vAlign w:val="center"/>
          </w:tcPr>
          <w:p w14:paraId="61EC9AB4">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舞蹈表演</w:t>
            </w:r>
          </w:p>
        </w:tc>
        <w:tc>
          <w:tcPr>
            <w:tcW w:w="1504" w:type="dxa"/>
            <w:vAlign w:val="center"/>
          </w:tcPr>
          <w:p w14:paraId="69905A7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106</w:t>
            </w:r>
          </w:p>
        </w:tc>
        <w:tc>
          <w:tcPr>
            <w:tcW w:w="1504" w:type="dxa"/>
            <w:vAlign w:val="center"/>
          </w:tcPr>
          <w:p w14:paraId="7BFEF866">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106</w:t>
            </w:r>
          </w:p>
        </w:tc>
        <w:tc>
          <w:tcPr>
            <w:tcW w:w="1397" w:type="dxa"/>
            <w:vAlign w:val="center"/>
          </w:tcPr>
          <w:p w14:paraId="0D790ADD">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100.00%</w:t>
            </w:r>
          </w:p>
        </w:tc>
      </w:tr>
      <w:tr w14:paraId="2380FF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BD99E17">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40106</w:t>
            </w:r>
          </w:p>
        </w:tc>
        <w:tc>
          <w:tcPr>
            <w:tcW w:w="2376" w:type="dxa"/>
            <w:vAlign w:val="center"/>
          </w:tcPr>
          <w:p w14:paraId="5B8C431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学前教育</w:t>
            </w:r>
          </w:p>
        </w:tc>
        <w:tc>
          <w:tcPr>
            <w:tcW w:w="1504" w:type="dxa"/>
            <w:vAlign w:val="center"/>
          </w:tcPr>
          <w:p w14:paraId="0AEA96A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404</w:t>
            </w:r>
          </w:p>
        </w:tc>
        <w:tc>
          <w:tcPr>
            <w:tcW w:w="1504" w:type="dxa"/>
            <w:vAlign w:val="center"/>
          </w:tcPr>
          <w:p w14:paraId="283FC82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403</w:t>
            </w:r>
          </w:p>
        </w:tc>
        <w:tc>
          <w:tcPr>
            <w:tcW w:w="1397" w:type="dxa"/>
            <w:vAlign w:val="center"/>
          </w:tcPr>
          <w:p w14:paraId="7C68188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99.75%</w:t>
            </w:r>
          </w:p>
        </w:tc>
      </w:tr>
      <w:tr w14:paraId="2E160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3BFD681B">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100701</w:t>
            </w:r>
          </w:p>
        </w:tc>
        <w:tc>
          <w:tcPr>
            <w:tcW w:w="2376" w:type="dxa"/>
            <w:vAlign w:val="center"/>
          </w:tcPr>
          <w:p w14:paraId="59B7FA28">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药学</w:t>
            </w:r>
          </w:p>
        </w:tc>
        <w:tc>
          <w:tcPr>
            <w:tcW w:w="1504" w:type="dxa"/>
            <w:vAlign w:val="center"/>
          </w:tcPr>
          <w:p w14:paraId="54E3DB9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619</w:t>
            </w:r>
          </w:p>
        </w:tc>
        <w:tc>
          <w:tcPr>
            <w:tcW w:w="1504" w:type="dxa"/>
            <w:vAlign w:val="center"/>
          </w:tcPr>
          <w:p w14:paraId="4C9503C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569</w:t>
            </w:r>
          </w:p>
        </w:tc>
        <w:tc>
          <w:tcPr>
            <w:tcW w:w="1397" w:type="dxa"/>
            <w:vAlign w:val="center"/>
          </w:tcPr>
          <w:p w14:paraId="0E4A542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91.92%</w:t>
            </w:r>
          </w:p>
        </w:tc>
      </w:tr>
      <w:tr w14:paraId="1FC992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A23379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100801</w:t>
            </w:r>
          </w:p>
        </w:tc>
        <w:tc>
          <w:tcPr>
            <w:tcW w:w="2376" w:type="dxa"/>
            <w:vAlign w:val="center"/>
          </w:tcPr>
          <w:p w14:paraId="2370064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中药学</w:t>
            </w:r>
          </w:p>
        </w:tc>
        <w:tc>
          <w:tcPr>
            <w:tcW w:w="1504" w:type="dxa"/>
            <w:vAlign w:val="center"/>
          </w:tcPr>
          <w:p w14:paraId="63BC59C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455</w:t>
            </w:r>
          </w:p>
        </w:tc>
        <w:tc>
          <w:tcPr>
            <w:tcW w:w="1504" w:type="dxa"/>
            <w:vAlign w:val="center"/>
          </w:tcPr>
          <w:p w14:paraId="22E1871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439</w:t>
            </w:r>
          </w:p>
        </w:tc>
        <w:tc>
          <w:tcPr>
            <w:tcW w:w="1397" w:type="dxa"/>
            <w:vAlign w:val="center"/>
          </w:tcPr>
          <w:p w14:paraId="2EC0BCD7">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96.48%</w:t>
            </w:r>
          </w:p>
        </w:tc>
      </w:tr>
      <w:tr w14:paraId="349821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32EC318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100805T</w:t>
            </w:r>
          </w:p>
        </w:tc>
        <w:tc>
          <w:tcPr>
            <w:tcW w:w="2376" w:type="dxa"/>
            <w:vAlign w:val="center"/>
          </w:tcPr>
          <w:p w14:paraId="5FB1A98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中药制药</w:t>
            </w:r>
          </w:p>
        </w:tc>
        <w:tc>
          <w:tcPr>
            <w:tcW w:w="1504" w:type="dxa"/>
            <w:vAlign w:val="center"/>
          </w:tcPr>
          <w:p w14:paraId="62835094">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266</w:t>
            </w:r>
          </w:p>
        </w:tc>
        <w:tc>
          <w:tcPr>
            <w:tcW w:w="1504" w:type="dxa"/>
            <w:vAlign w:val="center"/>
          </w:tcPr>
          <w:p w14:paraId="79505AA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253</w:t>
            </w:r>
          </w:p>
        </w:tc>
        <w:tc>
          <w:tcPr>
            <w:tcW w:w="1397" w:type="dxa"/>
            <w:vAlign w:val="center"/>
          </w:tcPr>
          <w:p w14:paraId="7002E96B">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95.11%</w:t>
            </w:r>
          </w:p>
        </w:tc>
      </w:tr>
      <w:tr w14:paraId="07B9CE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1F53273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101005</w:t>
            </w:r>
          </w:p>
        </w:tc>
        <w:tc>
          <w:tcPr>
            <w:tcW w:w="2376" w:type="dxa"/>
            <w:vAlign w:val="center"/>
          </w:tcPr>
          <w:p w14:paraId="7117423A">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康复治疗学</w:t>
            </w:r>
          </w:p>
        </w:tc>
        <w:tc>
          <w:tcPr>
            <w:tcW w:w="1504" w:type="dxa"/>
            <w:vAlign w:val="center"/>
          </w:tcPr>
          <w:p w14:paraId="0E8E1C6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334</w:t>
            </w:r>
          </w:p>
        </w:tc>
        <w:tc>
          <w:tcPr>
            <w:tcW w:w="1504" w:type="dxa"/>
            <w:vAlign w:val="center"/>
          </w:tcPr>
          <w:p w14:paraId="2C10C40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324</w:t>
            </w:r>
          </w:p>
        </w:tc>
        <w:tc>
          <w:tcPr>
            <w:tcW w:w="1397" w:type="dxa"/>
            <w:vAlign w:val="center"/>
          </w:tcPr>
          <w:p w14:paraId="3D1BCF1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97.00%</w:t>
            </w:r>
          </w:p>
        </w:tc>
      </w:tr>
      <w:tr w14:paraId="0CC7EF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54E2731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101001</w:t>
            </w:r>
          </w:p>
        </w:tc>
        <w:tc>
          <w:tcPr>
            <w:tcW w:w="2376" w:type="dxa"/>
            <w:vAlign w:val="center"/>
          </w:tcPr>
          <w:p w14:paraId="28B6988E">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医学检验技术</w:t>
            </w:r>
          </w:p>
        </w:tc>
        <w:tc>
          <w:tcPr>
            <w:tcW w:w="1504" w:type="dxa"/>
            <w:vAlign w:val="center"/>
          </w:tcPr>
          <w:p w14:paraId="5437D131">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667</w:t>
            </w:r>
          </w:p>
        </w:tc>
        <w:tc>
          <w:tcPr>
            <w:tcW w:w="1504" w:type="dxa"/>
            <w:vAlign w:val="center"/>
          </w:tcPr>
          <w:p w14:paraId="2666EFA4">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639</w:t>
            </w:r>
          </w:p>
        </w:tc>
        <w:tc>
          <w:tcPr>
            <w:tcW w:w="1397" w:type="dxa"/>
            <w:vAlign w:val="center"/>
          </w:tcPr>
          <w:p w14:paraId="345DACA9">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95.80%</w:t>
            </w:r>
          </w:p>
        </w:tc>
      </w:tr>
      <w:tr w14:paraId="7C1731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741" w:type="dxa"/>
            <w:vAlign w:val="center"/>
          </w:tcPr>
          <w:p w14:paraId="7353E2DB">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101102TK</w:t>
            </w:r>
          </w:p>
        </w:tc>
        <w:tc>
          <w:tcPr>
            <w:tcW w:w="2376" w:type="dxa"/>
            <w:vAlign w:val="center"/>
          </w:tcPr>
          <w:p w14:paraId="40FCD36F">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助产学</w:t>
            </w:r>
          </w:p>
        </w:tc>
        <w:tc>
          <w:tcPr>
            <w:tcW w:w="1504" w:type="dxa"/>
            <w:vAlign w:val="center"/>
          </w:tcPr>
          <w:p w14:paraId="71A8CB69">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277</w:t>
            </w:r>
          </w:p>
        </w:tc>
        <w:tc>
          <w:tcPr>
            <w:tcW w:w="1504" w:type="dxa"/>
            <w:vAlign w:val="center"/>
          </w:tcPr>
          <w:p w14:paraId="0ABF6E62">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271</w:t>
            </w:r>
          </w:p>
        </w:tc>
        <w:tc>
          <w:tcPr>
            <w:tcW w:w="1397" w:type="dxa"/>
            <w:vAlign w:val="center"/>
          </w:tcPr>
          <w:p w14:paraId="13A06773">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97.83%</w:t>
            </w:r>
          </w:p>
        </w:tc>
      </w:tr>
      <w:tr w14:paraId="1FF249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9" w:hRule="atLeast"/>
          <w:jc w:val="center"/>
        </w:trPr>
        <w:tc>
          <w:tcPr>
            <w:tcW w:w="1741" w:type="dxa"/>
            <w:vAlign w:val="center"/>
          </w:tcPr>
          <w:p w14:paraId="3DA9F6FB">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80903</w:t>
            </w:r>
          </w:p>
        </w:tc>
        <w:tc>
          <w:tcPr>
            <w:tcW w:w="2376" w:type="dxa"/>
            <w:vAlign w:val="center"/>
          </w:tcPr>
          <w:p w14:paraId="5C68E750">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eastAsia" w:ascii="宋体" w:hAnsi="宋体" w:eastAsia="宋体" w:cs="宋体"/>
                <w:i w:val="0"/>
                <w:iCs w:val="0"/>
                <w:snapToGrid w:val="0"/>
                <w:color w:val="000000"/>
                <w:kern w:val="0"/>
                <w:sz w:val="22"/>
                <w:szCs w:val="22"/>
                <w:highlight w:val="none"/>
                <w:u w:val="none"/>
                <w:lang w:val="en-US" w:eastAsia="zh-CN" w:bidi="ar"/>
              </w:rPr>
              <w:t>网络工程</w:t>
            </w:r>
          </w:p>
        </w:tc>
        <w:tc>
          <w:tcPr>
            <w:tcW w:w="1504" w:type="dxa"/>
            <w:vAlign w:val="center"/>
          </w:tcPr>
          <w:p w14:paraId="0302AEE8">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103</w:t>
            </w:r>
          </w:p>
        </w:tc>
        <w:tc>
          <w:tcPr>
            <w:tcW w:w="1504" w:type="dxa"/>
            <w:vAlign w:val="center"/>
          </w:tcPr>
          <w:p w14:paraId="4155F5A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101</w:t>
            </w:r>
          </w:p>
        </w:tc>
        <w:tc>
          <w:tcPr>
            <w:tcW w:w="1397" w:type="dxa"/>
            <w:vAlign w:val="center"/>
          </w:tcPr>
          <w:p w14:paraId="0CC818C5">
            <w:pPr>
              <w:keepNext w:val="0"/>
              <w:keepLines w:val="0"/>
              <w:widowControl/>
              <w:suppressLineNumbers w:val="0"/>
              <w:jc w:val="center"/>
              <w:textAlignment w:val="center"/>
              <w:rPr>
                <w:rFonts w:asciiTheme="minorEastAsia" w:hAnsiTheme="minorEastAsia" w:eastAsiaTheme="minorEastAsia" w:cstheme="minorEastAsia"/>
                <w:highlight w:val="none"/>
              </w:rPr>
            </w:pPr>
            <w:r>
              <w:rPr>
                <w:rFonts w:hint="default" w:ascii="Calibri" w:hAnsi="Calibri" w:eastAsia="宋体" w:cs="Calibri"/>
                <w:i w:val="0"/>
                <w:iCs w:val="0"/>
                <w:snapToGrid w:val="0"/>
                <w:color w:val="000000"/>
                <w:kern w:val="0"/>
                <w:sz w:val="22"/>
                <w:szCs w:val="22"/>
                <w:highlight w:val="none"/>
                <w:u w:val="none"/>
                <w:lang w:val="en-US" w:eastAsia="zh-CN" w:bidi="ar"/>
              </w:rPr>
              <w:t>98.05%</w:t>
            </w:r>
          </w:p>
        </w:tc>
      </w:tr>
      <w:tr w14:paraId="6A3560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49" w:hRule="atLeast"/>
          <w:jc w:val="center"/>
        </w:trPr>
        <w:tc>
          <w:tcPr>
            <w:tcW w:w="1741" w:type="dxa"/>
            <w:vAlign w:val="center"/>
          </w:tcPr>
          <w:p w14:paraId="0C58D5A9">
            <w:pPr>
              <w:keepNext w:val="0"/>
              <w:keepLines w:val="0"/>
              <w:widowControl/>
              <w:suppressLineNumbers w:val="0"/>
              <w:jc w:val="center"/>
              <w:textAlignment w:val="center"/>
              <w:rPr>
                <w:rFonts w:ascii="Arial" w:hAnsi="Arial" w:eastAsia="Arial" w:cs="Arial"/>
                <w:snapToGrid w:val="0"/>
                <w:color w:val="000000"/>
                <w:sz w:val="21"/>
                <w:szCs w:val="21"/>
                <w:highlight w:val="none"/>
                <w:lang w:val="en-US" w:eastAsia="en-US" w:bidi="ar-SA"/>
              </w:rPr>
            </w:pPr>
            <w:r>
              <w:rPr>
                <w:rFonts w:hint="default" w:ascii="Arial" w:hAnsi="Arial" w:eastAsia="宋体" w:cs="Arial"/>
                <w:i w:val="0"/>
                <w:iCs w:val="0"/>
                <w:snapToGrid w:val="0"/>
                <w:color w:val="000000"/>
                <w:kern w:val="0"/>
                <w:sz w:val="21"/>
                <w:szCs w:val="21"/>
                <w:highlight w:val="none"/>
                <w:u w:val="none"/>
                <w:lang w:val="en-US" w:eastAsia="zh-CN" w:bidi="ar"/>
              </w:rPr>
              <w:t>全校整体</w:t>
            </w:r>
          </w:p>
        </w:tc>
        <w:tc>
          <w:tcPr>
            <w:tcW w:w="2376" w:type="dxa"/>
            <w:vAlign w:val="center"/>
          </w:tcPr>
          <w:p w14:paraId="2D2871EF">
            <w:pPr>
              <w:keepNext w:val="0"/>
              <w:keepLines w:val="0"/>
              <w:widowControl/>
              <w:suppressLineNumbers w:val="0"/>
              <w:jc w:val="center"/>
              <w:textAlignment w:val="center"/>
              <w:rPr>
                <w:rFonts w:ascii="Arial" w:hAnsi="Arial" w:eastAsia="Arial" w:cs="Arial"/>
                <w:snapToGrid w:val="0"/>
                <w:color w:val="000000"/>
                <w:sz w:val="21"/>
                <w:szCs w:val="21"/>
                <w:highlight w:val="none"/>
                <w:lang w:val="en-US" w:eastAsia="en-US" w:bidi="ar-SA"/>
              </w:rPr>
            </w:pPr>
            <w:r>
              <w:rPr>
                <w:rFonts w:hint="default" w:ascii="Arial" w:hAnsi="Arial" w:eastAsia="宋体" w:cs="Arial"/>
                <w:i w:val="0"/>
                <w:iCs w:val="0"/>
                <w:snapToGrid w:val="0"/>
                <w:color w:val="000000"/>
                <w:kern w:val="0"/>
                <w:sz w:val="21"/>
                <w:szCs w:val="21"/>
                <w:highlight w:val="none"/>
                <w:u w:val="none"/>
                <w:lang w:val="en-US" w:eastAsia="zh-CN" w:bidi="ar"/>
              </w:rPr>
              <w:t>/</w:t>
            </w:r>
          </w:p>
        </w:tc>
        <w:tc>
          <w:tcPr>
            <w:tcW w:w="1504" w:type="dxa"/>
            <w:vAlign w:val="center"/>
          </w:tcPr>
          <w:p w14:paraId="5CF3C9AB">
            <w:pPr>
              <w:keepNext w:val="0"/>
              <w:keepLines w:val="0"/>
              <w:widowControl/>
              <w:suppressLineNumbers w:val="0"/>
              <w:jc w:val="center"/>
              <w:textAlignment w:val="center"/>
              <w:rPr>
                <w:rFonts w:hint="default" w:ascii="Arial" w:hAnsi="Arial" w:eastAsia="宋体"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1"/>
                <w:szCs w:val="21"/>
                <w:highlight w:val="none"/>
                <w:u w:val="none"/>
                <w:lang w:val="en-US" w:eastAsia="zh-CN" w:bidi="ar"/>
              </w:rPr>
              <w:t>7085</w:t>
            </w:r>
          </w:p>
        </w:tc>
        <w:tc>
          <w:tcPr>
            <w:tcW w:w="1504" w:type="dxa"/>
            <w:vAlign w:val="center"/>
          </w:tcPr>
          <w:p w14:paraId="5BF5D149">
            <w:pPr>
              <w:keepNext w:val="0"/>
              <w:keepLines w:val="0"/>
              <w:widowControl/>
              <w:suppressLineNumbers w:val="0"/>
              <w:jc w:val="center"/>
              <w:textAlignment w:val="center"/>
              <w:rPr>
                <w:rFonts w:hint="default" w:ascii="Arial" w:hAnsi="Arial" w:eastAsia="宋体"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1"/>
                <w:szCs w:val="21"/>
                <w:highlight w:val="none"/>
                <w:u w:val="none"/>
                <w:lang w:val="en-US" w:eastAsia="zh-CN" w:bidi="ar"/>
              </w:rPr>
              <w:t>6831</w:t>
            </w:r>
          </w:p>
        </w:tc>
        <w:tc>
          <w:tcPr>
            <w:tcW w:w="1397" w:type="dxa"/>
            <w:vAlign w:val="center"/>
          </w:tcPr>
          <w:p w14:paraId="0DF069C4">
            <w:pPr>
              <w:keepNext w:val="0"/>
              <w:keepLines w:val="0"/>
              <w:widowControl/>
              <w:suppressLineNumbers w:val="0"/>
              <w:jc w:val="center"/>
              <w:textAlignment w:val="center"/>
              <w:rPr>
                <w:rFonts w:hint="default" w:ascii="Arial" w:hAnsi="Arial" w:eastAsia="宋体" w:cs="Arial"/>
                <w:snapToGrid w:val="0"/>
                <w:color w:val="000000"/>
                <w:sz w:val="21"/>
                <w:szCs w:val="21"/>
                <w:highlight w:val="none"/>
                <w:lang w:val="en-US" w:eastAsia="zh-CN" w:bidi="ar-SA"/>
              </w:rPr>
            </w:pPr>
            <w:r>
              <w:rPr>
                <w:rFonts w:hint="default" w:ascii="Arial" w:hAnsi="Arial" w:eastAsia="宋体" w:cs="Arial"/>
                <w:i w:val="0"/>
                <w:iCs w:val="0"/>
                <w:snapToGrid w:val="0"/>
                <w:color w:val="000000"/>
                <w:kern w:val="0"/>
                <w:sz w:val="21"/>
                <w:szCs w:val="21"/>
                <w:highlight w:val="none"/>
                <w:u w:val="none"/>
                <w:lang w:val="en-US" w:eastAsia="zh-CN" w:bidi="ar"/>
              </w:rPr>
              <w:t>96.41%</w:t>
            </w:r>
          </w:p>
        </w:tc>
      </w:tr>
    </w:tbl>
    <w:p w14:paraId="22DFCA75">
      <w:pPr>
        <w:rPr>
          <w:highlight w:val="none"/>
          <w:lang w:eastAsia="zh-CN"/>
        </w:rPr>
      </w:pPr>
    </w:p>
    <w:sectPr>
      <w:footerReference r:id="rId9" w:type="default"/>
      <w:pgSz w:w="11906" w:h="16838"/>
      <w:pgMar w:top="1440" w:right="1474" w:bottom="1440" w:left="1587" w:header="567"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2CBAD">
    <w:pPr>
      <w:pStyle w:val="12"/>
      <w:tabs>
        <w:tab w:val="center" w:pos="4419"/>
        <w:tab w:val="clear" w:pos="4153"/>
      </w:tabs>
    </w:pPr>
    <w:r>
      <w:rPr>
        <w:rFonts w:hint="eastAsia" w:eastAsia="宋体"/>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A7CEF">
    <w:pPr>
      <w:spacing w:line="184" w:lineRule="auto"/>
      <w:ind w:left="7090"/>
      <w:rPr>
        <w:rFonts w:ascii="Times New Roman" w:hAnsi="Times New Roman" w:eastAsia="Times New Roman" w:cs="Times New Roman"/>
        <w:sz w:val="17"/>
        <w:szCs w:val="17"/>
      </w:rPr>
    </w:pPr>
    <w:r>
      <w:rPr>
        <w:sz w:val="17"/>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B3253C">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64B3253C">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B29A2">
    <w:pPr>
      <w:pStyle w:val="12"/>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C4B43">
                          <w:pPr>
                            <w:pStyle w:val="12"/>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78C4B43">
                    <w:pPr>
                      <w:pStyle w:val="12"/>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7E1D9">
    <w:pPr>
      <w:pStyle w:val="12"/>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C7EB03">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70C7EB03">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6E54A">
    <w:pPr>
      <w:pStyle w:val="13"/>
      <w:pBdr>
        <w:bottom w:val="single" w:color="auto" w:sz="4" w:space="1"/>
      </w:pBdr>
      <w:jc w:val="center"/>
      <w:rPr>
        <w:rFonts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lang w:eastAsia="zh-CN"/>
      </w:rPr>
      <w:t>山东现代学院202</w:t>
    </w:r>
    <w:r>
      <w:rPr>
        <w:rFonts w:hint="eastAsia" w:asciiTheme="minorEastAsia" w:hAnsiTheme="minorEastAsia" w:eastAsiaTheme="minorEastAsia" w:cstheme="minorEastAsia"/>
        <w:sz w:val="21"/>
        <w:lang w:val="en-US" w:eastAsia="zh-CN"/>
      </w:rPr>
      <w:t>4</w:t>
    </w:r>
    <w:r>
      <w:rPr>
        <w:rFonts w:hint="eastAsia" w:ascii="微软雅黑" w:hAnsi="微软雅黑" w:eastAsia="微软雅黑" w:cs="微软雅黑"/>
        <w:color w:val="333333"/>
        <w:sz w:val="21"/>
        <w:shd w:val="clear" w:color="auto" w:fill="FFFFFF"/>
        <w:lang w:eastAsia="zh-CN"/>
      </w:rPr>
      <w:t>～</w:t>
    </w:r>
    <w:r>
      <w:rPr>
        <w:rFonts w:hint="eastAsia" w:asciiTheme="minorEastAsia" w:hAnsiTheme="minorEastAsia" w:eastAsiaTheme="minorEastAsia" w:cstheme="minorEastAsia"/>
        <w:sz w:val="21"/>
        <w:lang w:eastAsia="zh-CN"/>
      </w:rPr>
      <w:t>202</w:t>
    </w:r>
    <w:r>
      <w:rPr>
        <w:rFonts w:hint="eastAsia" w:asciiTheme="minorEastAsia" w:hAnsiTheme="minorEastAsia" w:eastAsiaTheme="minorEastAsia" w:cstheme="minorEastAsia"/>
        <w:sz w:val="21"/>
        <w:lang w:val="en-US" w:eastAsia="zh-CN"/>
      </w:rPr>
      <w:t>5</w:t>
    </w:r>
    <w:r>
      <w:rPr>
        <w:rFonts w:hint="eastAsia" w:asciiTheme="minorEastAsia" w:hAnsiTheme="minorEastAsia" w:eastAsiaTheme="minorEastAsia" w:cstheme="minorEastAsia"/>
        <w:sz w:val="21"/>
        <w:lang w:eastAsia="zh-CN"/>
      </w:rPr>
      <w:t>学年教学质量报告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0ADD0">
    <w:pPr>
      <w:pBdr>
        <w:bottom w:val="single" w:color="auto" w:sz="4" w:space="0"/>
      </w:pBdr>
      <w:spacing w:before="1" w:line="217" w:lineRule="auto"/>
      <w:jc w:val="center"/>
      <w:rPr>
        <w:rFonts w:ascii="宋体" w:hAnsi="宋体" w:eastAsia="宋体" w:cs="宋体"/>
        <w:sz w:val="24"/>
        <w:szCs w:val="24"/>
        <w:lang w:eastAsia="zh-CN"/>
      </w:rPr>
    </w:pPr>
    <w:r>
      <w:rPr>
        <w:rFonts w:ascii="宋体" w:hAnsi="宋体" w:eastAsia="宋体" w:cs="宋体"/>
        <w:spacing w:val="-2"/>
        <w:sz w:val="24"/>
        <w:szCs w:val="24"/>
        <w:lang w:eastAsia="zh-CN"/>
      </w:rPr>
      <w:t>山东现代学院</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202</w:t>
    </w:r>
    <w:r>
      <w:rPr>
        <w:rFonts w:hint="eastAsia" w:ascii="宋体" w:hAnsi="宋体" w:eastAsia="宋体" w:cs="宋体"/>
        <w:spacing w:val="-2"/>
        <w:sz w:val="24"/>
        <w:szCs w:val="24"/>
        <w:lang w:val="en-US" w:eastAsia="zh-CN"/>
      </w:rPr>
      <w:t>4</w:t>
    </w:r>
    <w:r>
      <w:rPr>
        <w:rFonts w:hint="eastAsia" w:ascii="微软雅黑" w:hAnsi="微软雅黑" w:eastAsia="微软雅黑" w:cs="微软雅黑"/>
        <w:color w:val="333333"/>
        <w:sz w:val="24"/>
        <w:szCs w:val="24"/>
        <w:shd w:val="clear" w:color="auto" w:fill="FFFFFF"/>
        <w:lang w:eastAsia="zh-CN"/>
      </w:rPr>
      <w:t>～</w:t>
    </w:r>
    <w:r>
      <w:rPr>
        <w:rFonts w:ascii="宋体" w:hAnsi="宋体" w:eastAsia="宋体" w:cs="宋体"/>
        <w:spacing w:val="-2"/>
        <w:sz w:val="24"/>
        <w:szCs w:val="24"/>
        <w:lang w:eastAsia="zh-CN"/>
      </w:rPr>
      <w:t>202</w:t>
    </w:r>
    <w:r>
      <w:rPr>
        <w:rFonts w:hint="eastAsia" w:ascii="宋体" w:hAnsi="宋体" w:eastAsia="宋体" w:cs="宋体"/>
        <w:spacing w:val="-2"/>
        <w:sz w:val="24"/>
        <w:szCs w:val="24"/>
        <w:lang w:val="en-US" w:eastAsia="zh-CN"/>
      </w:rPr>
      <w:t>5</w:t>
    </w:r>
    <w:r>
      <w:rPr>
        <w:rFonts w:ascii="宋体" w:hAnsi="宋体" w:eastAsia="宋体" w:cs="宋体"/>
        <w:spacing w:val="-44"/>
        <w:sz w:val="24"/>
        <w:szCs w:val="24"/>
        <w:lang w:eastAsia="zh-CN"/>
      </w:rPr>
      <w:t xml:space="preserve"> </w:t>
    </w:r>
    <w:r>
      <w:rPr>
        <w:rFonts w:ascii="宋体" w:hAnsi="宋体" w:eastAsia="宋体" w:cs="宋体"/>
        <w:spacing w:val="-2"/>
        <w:sz w:val="24"/>
        <w:szCs w:val="24"/>
        <w:lang w:eastAsia="zh-CN"/>
      </w:rPr>
      <w:t>学年本科教学质量报告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3CB60">
    <w:pPr>
      <w:pBdr>
        <w:bottom w:val="single" w:color="auto" w:sz="4" w:space="0"/>
      </w:pBdr>
      <w:jc w:val="center"/>
      <w:rPr>
        <w:lang w:eastAsia="zh-CN"/>
      </w:rPr>
    </w:pPr>
    <w:r>
      <w:rPr>
        <w:lang w:eastAsia="zh-CN"/>
      </w:rPr>
      <w:t>山东现代学院 202</w:t>
    </w:r>
    <w:r>
      <w:rPr>
        <w:rFonts w:hint="eastAsia"/>
        <w:lang w:val="en-US" w:eastAsia="zh-CN"/>
      </w:rPr>
      <w:t>3</w:t>
    </w:r>
    <w:r>
      <w:rPr>
        <w:rFonts w:hint="eastAsia"/>
        <w:lang w:eastAsia="zh-CN"/>
      </w:rPr>
      <w:t>～</w:t>
    </w:r>
    <w:r>
      <w:rPr>
        <w:lang w:eastAsia="zh-CN"/>
      </w:rPr>
      <w:t>202</w:t>
    </w:r>
    <w:r>
      <w:rPr>
        <w:rFonts w:hint="eastAsia"/>
        <w:lang w:val="en-US" w:eastAsia="zh-CN"/>
      </w:rPr>
      <w:t>4</w:t>
    </w:r>
    <w:r>
      <w:rPr>
        <w:lang w:eastAsia="zh-CN"/>
      </w:rPr>
      <w:t>学年本科教学质量报告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kYTlmZTMxNzVjYjNlOWNlODE2MjY4MmM2MTVjODAifQ=="/>
  </w:docVars>
  <w:rsids>
    <w:rsidRoot w:val="0087210C"/>
    <w:rsid w:val="000020D8"/>
    <w:rsid w:val="00070A15"/>
    <w:rsid w:val="00077D7E"/>
    <w:rsid w:val="000922AB"/>
    <w:rsid w:val="000930E8"/>
    <w:rsid w:val="000C35FB"/>
    <w:rsid w:val="0010224C"/>
    <w:rsid w:val="001237E3"/>
    <w:rsid w:val="00155925"/>
    <w:rsid w:val="001B333D"/>
    <w:rsid w:val="001E6176"/>
    <w:rsid w:val="0022600F"/>
    <w:rsid w:val="002335F8"/>
    <w:rsid w:val="00241309"/>
    <w:rsid w:val="00242B70"/>
    <w:rsid w:val="00260B53"/>
    <w:rsid w:val="002637D9"/>
    <w:rsid w:val="002671F2"/>
    <w:rsid w:val="00281541"/>
    <w:rsid w:val="002C5DA7"/>
    <w:rsid w:val="002D2B79"/>
    <w:rsid w:val="002F1951"/>
    <w:rsid w:val="00306831"/>
    <w:rsid w:val="003210F1"/>
    <w:rsid w:val="003514AB"/>
    <w:rsid w:val="0037622C"/>
    <w:rsid w:val="00397601"/>
    <w:rsid w:val="003B7433"/>
    <w:rsid w:val="003C0618"/>
    <w:rsid w:val="003C24C3"/>
    <w:rsid w:val="00496B46"/>
    <w:rsid w:val="004C7875"/>
    <w:rsid w:val="004E544D"/>
    <w:rsid w:val="004F5505"/>
    <w:rsid w:val="00505680"/>
    <w:rsid w:val="00517703"/>
    <w:rsid w:val="005548A4"/>
    <w:rsid w:val="00580EAD"/>
    <w:rsid w:val="005A075E"/>
    <w:rsid w:val="005F4E75"/>
    <w:rsid w:val="005F71D4"/>
    <w:rsid w:val="00606EC5"/>
    <w:rsid w:val="00607849"/>
    <w:rsid w:val="00610936"/>
    <w:rsid w:val="00631A2A"/>
    <w:rsid w:val="006423FF"/>
    <w:rsid w:val="0064538E"/>
    <w:rsid w:val="00652130"/>
    <w:rsid w:val="00663D1F"/>
    <w:rsid w:val="00672045"/>
    <w:rsid w:val="006D6454"/>
    <w:rsid w:val="006E06EF"/>
    <w:rsid w:val="006E36B9"/>
    <w:rsid w:val="0071734C"/>
    <w:rsid w:val="007332E5"/>
    <w:rsid w:val="00744EB0"/>
    <w:rsid w:val="00772BD6"/>
    <w:rsid w:val="00791D32"/>
    <w:rsid w:val="007A474A"/>
    <w:rsid w:val="007B6083"/>
    <w:rsid w:val="007D32B0"/>
    <w:rsid w:val="007D3DD1"/>
    <w:rsid w:val="007E12D5"/>
    <w:rsid w:val="00844285"/>
    <w:rsid w:val="00864B7A"/>
    <w:rsid w:val="0087210C"/>
    <w:rsid w:val="00882C0E"/>
    <w:rsid w:val="008A0A5C"/>
    <w:rsid w:val="008D087F"/>
    <w:rsid w:val="008E5BD5"/>
    <w:rsid w:val="0093535E"/>
    <w:rsid w:val="00943407"/>
    <w:rsid w:val="009473FA"/>
    <w:rsid w:val="00995E4E"/>
    <w:rsid w:val="009A0614"/>
    <w:rsid w:val="009A4181"/>
    <w:rsid w:val="009B017A"/>
    <w:rsid w:val="009E12A6"/>
    <w:rsid w:val="00A12D82"/>
    <w:rsid w:val="00A47C32"/>
    <w:rsid w:val="00A52FEC"/>
    <w:rsid w:val="00A572C1"/>
    <w:rsid w:val="00AB52A1"/>
    <w:rsid w:val="00AE5FAF"/>
    <w:rsid w:val="00AF74F1"/>
    <w:rsid w:val="00B20E99"/>
    <w:rsid w:val="00B41692"/>
    <w:rsid w:val="00B44ABE"/>
    <w:rsid w:val="00B45F15"/>
    <w:rsid w:val="00B761F4"/>
    <w:rsid w:val="00B97954"/>
    <w:rsid w:val="00BC2DF6"/>
    <w:rsid w:val="00BD15A9"/>
    <w:rsid w:val="00C47CB9"/>
    <w:rsid w:val="00C50977"/>
    <w:rsid w:val="00C716A0"/>
    <w:rsid w:val="00CA6303"/>
    <w:rsid w:val="00CA7923"/>
    <w:rsid w:val="00CA7EDB"/>
    <w:rsid w:val="00D17FBB"/>
    <w:rsid w:val="00D25555"/>
    <w:rsid w:val="00D748BD"/>
    <w:rsid w:val="00D8003E"/>
    <w:rsid w:val="00DB5A47"/>
    <w:rsid w:val="00DB7C0C"/>
    <w:rsid w:val="00DD4B9D"/>
    <w:rsid w:val="00DE451C"/>
    <w:rsid w:val="00E36CA0"/>
    <w:rsid w:val="00E42556"/>
    <w:rsid w:val="00E80D8B"/>
    <w:rsid w:val="00F254FA"/>
    <w:rsid w:val="00F428FB"/>
    <w:rsid w:val="00F84C09"/>
    <w:rsid w:val="00FC45EE"/>
    <w:rsid w:val="00FE3A0D"/>
    <w:rsid w:val="012579FA"/>
    <w:rsid w:val="012E64FB"/>
    <w:rsid w:val="01E37D82"/>
    <w:rsid w:val="01F42D45"/>
    <w:rsid w:val="021F14BC"/>
    <w:rsid w:val="02561604"/>
    <w:rsid w:val="02C53C66"/>
    <w:rsid w:val="02F26199"/>
    <w:rsid w:val="04390EE3"/>
    <w:rsid w:val="044B10F9"/>
    <w:rsid w:val="04F52745"/>
    <w:rsid w:val="054162A1"/>
    <w:rsid w:val="058A5E9A"/>
    <w:rsid w:val="05C92AA2"/>
    <w:rsid w:val="05CA34A8"/>
    <w:rsid w:val="06367DD0"/>
    <w:rsid w:val="06440A7A"/>
    <w:rsid w:val="0658181F"/>
    <w:rsid w:val="06BB2083"/>
    <w:rsid w:val="06CC603E"/>
    <w:rsid w:val="06FC2DC7"/>
    <w:rsid w:val="073F0511"/>
    <w:rsid w:val="076072C9"/>
    <w:rsid w:val="076F59D4"/>
    <w:rsid w:val="0791652A"/>
    <w:rsid w:val="07E00A18"/>
    <w:rsid w:val="080E6D72"/>
    <w:rsid w:val="08205E15"/>
    <w:rsid w:val="0831084F"/>
    <w:rsid w:val="084F5179"/>
    <w:rsid w:val="08BB45BC"/>
    <w:rsid w:val="08D77648"/>
    <w:rsid w:val="09037645"/>
    <w:rsid w:val="0938261D"/>
    <w:rsid w:val="095215CA"/>
    <w:rsid w:val="09747EF7"/>
    <w:rsid w:val="09B80B68"/>
    <w:rsid w:val="0AA73501"/>
    <w:rsid w:val="0ACC485F"/>
    <w:rsid w:val="0AEC0861"/>
    <w:rsid w:val="0BB20413"/>
    <w:rsid w:val="0C0D15D3"/>
    <w:rsid w:val="0C2F4286"/>
    <w:rsid w:val="0C3A2DCD"/>
    <w:rsid w:val="0C4B240F"/>
    <w:rsid w:val="0CFB47D0"/>
    <w:rsid w:val="0D9056F5"/>
    <w:rsid w:val="0DAE1E0C"/>
    <w:rsid w:val="0E283815"/>
    <w:rsid w:val="0E4B1F3E"/>
    <w:rsid w:val="0E6574A4"/>
    <w:rsid w:val="0F4E62ED"/>
    <w:rsid w:val="0F780A7C"/>
    <w:rsid w:val="0FAC4C5F"/>
    <w:rsid w:val="0FDC3796"/>
    <w:rsid w:val="0FF7412C"/>
    <w:rsid w:val="103A04BC"/>
    <w:rsid w:val="1066305F"/>
    <w:rsid w:val="107346FD"/>
    <w:rsid w:val="109F19AF"/>
    <w:rsid w:val="10A27DA2"/>
    <w:rsid w:val="10C57F43"/>
    <w:rsid w:val="10EC7AEF"/>
    <w:rsid w:val="11295CD8"/>
    <w:rsid w:val="11B548BD"/>
    <w:rsid w:val="12372687"/>
    <w:rsid w:val="12661A3D"/>
    <w:rsid w:val="12823991"/>
    <w:rsid w:val="13662F80"/>
    <w:rsid w:val="137B0C79"/>
    <w:rsid w:val="13A303FD"/>
    <w:rsid w:val="13FF371A"/>
    <w:rsid w:val="14C238EF"/>
    <w:rsid w:val="15107A3E"/>
    <w:rsid w:val="15192D96"/>
    <w:rsid w:val="158D0509"/>
    <w:rsid w:val="15997A33"/>
    <w:rsid w:val="15D947B6"/>
    <w:rsid w:val="161559E6"/>
    <w:rsid w:val="163868AA"/>
    <w:rsid w:val="166B13D0"/>
    <w:rsid w:val="16985F3D"/>
    <w:rsid w:val="16D4724B"/>
    <w:rsid w:val="16E74371"/>
    <w:rsid w:val="16FC0FB7"/>
    <w:rsid w:val="17281893"/>
    <w:rsid w:val="176519FB"/>
    <w:rsid w:val="179130B8"/>
    <w:rsid w:val="18711556"/>
    <w:rsid w:val="18751EB7"/>
    <w:rsid w:val="18846779"/>
    <w:rsid w:val="1977008B"/>
    <w:rsid w:val="19BE5CBA"/>
    <w:rsid w:val="19E80F89"/>
    <w:rsid w:val="19F90325"/>
    <w:rsid w:val="1A042A06"/>
    <w:rsid w:val="1A0F4768"/>
    <w:rsid w:val="1A23796E"/>
    <w:rsid w:val="1A5B625D"/>
    <w:rsid w:val="1A7016AA"/>
    <w:rsid w:val="1AA07219"/>
    <w:rsid w:val="1AA21AC2"/>
    <w:rsid w:val="1AA55810"/>
    <w:rsid w:val="1B637235"/>
    <w:rsid w:val="1BDE43F2"/>
    <w:rsid w:val="1C031CE4"/>
    <w:rsid w:val="1C3C6505"/>
    <w:rsid w:val="1C663FBB"/>
    <w:rsid w:val="1C9A2985"/>
    <w:rsid w:val="1C9C5B1C"/>
    <w:rsid w:val="1C9C5CB9"/>
    <w:rsid w:val="1CF57CD3"/>
    <w:rsid w:val="1CF87735"/>
    <w:rsid w:val="1D1836CC"/>
    <w:rsid w:val="1DF04C6C"/>
    <w:rsid w:val="1EB06519"/>
    <w:rsid w:val="1ED32941"/>
    <w:rsid w:val="1EE00481"/>
    <w:rsid w:val="20FC06D5"/>
    <w:rsid w:val="210F1F4B"/>
    <w:rsid w:val="218C4997"/>
    <w:rsid w:val="21A6088D"/>
    <w:rsid w:val="224C3E33"/>
    <w:rsid w:val="22E06CA1"/>
    <w:rsid w:val="23905713"/>
    <w:rsid w:val="23924B55"/>
    <w:rsid w:val="23CD68DA"/>
    <w:rsid w:val="245F0F7A"/>
    <w:rsid w:val="24820617"/>
    <w:rsid w:val="24861ACA"/>
    <w:rsid w:val="248E70D5"/>
    <w:rsid w:val="24CD76F9"/>
    <w:rsid w:val="25065BBC"/>
    <w:rsid w:val="25357F57"/>
    <w:rsid w:val="256535B5"/>
    <w:rsid w:val="2585447B"/>
    <w:rsid w:val="25A4045A"/>
    <w:rsid w:val="264064BF"/>
    <w:rsid w:val="264C0FF6"/>
    <w:rsid w:val="26BA0BD4"/>
    <w:rsid w:val="26C21F6F"/>
    <w:rsid w:val="26CA3EF0"/>
    <w:rsid w:val="275172F1"/>
    <w:rsid w:val="277A743E"/>
    <w:rsid w:val="27A302CB"/>
    <w:rsid w:val="27F4049D"/>
    <w:rsid w:val="28394D91"/>
    <w:rsid w:val="28B9529D"/>
    <w:rsid w:val="28E62B38"/>
    <w:rsid w:val="290C33EB"/>
    <w:rsid w:val="2A7228D5"/>
    <w:rsid w:val="2A77438F"/>
    <w:rsid w:val="2A7A5040"/>
    <w:rsid w:val="2AB823C4"/>
    <w:rsid w:val="2AEA2D75"/>
    <w:rsid w:val="2B3A29C6"/>
    <w:rsid w:val="2C094433"/>
    <w:rsid w:val="2CE13D42"/>
    <w:rsid w:val="2D0059EC"/>
    <w:rsid w:val="2D202ABC"/>
    <w:rsid w:val="2D7C025A"/>
    <w:rsid w:val="2E5A7BB6"/>
    <w:rsid w:val="2E7A506C"/>
    <w:rsid w:val="2EB7662A"/>
    <w:rsid w:val="2F0247C0"/>
    <w:rsid w:val="2F25448A"/>
    <w:rsid w:val="2FCA6D0F"/>
    <w:rsid w:val="2FE16D28"/>
    <w:rsid w:val="309F1F4A"/>
    <w:rsid w:val="30BD2C7B"/>
    <w:rsid w:val="30FC03BB"/>
    <w:rsid w:val="31093867"/>
    <w:rsid w:val="31C533EA"/>
    <w:rsid w:val="31E149AB"/>
    <w:rsid w:val="32621481"/>
    <w:rsid w:val="32C47A47"/>
    <w:rsid w:val="3314623D"/>
    <w:rsid w:val="331F7372"/>
    <w:rsid w:val="338523B9"/>
    <w:rsid w:val="33D01C5C"/>
    <w:rsid w:val="33EA3E24"/>
    <w:rsid w:val="33EC194A"/>
    <w:rsid w:val="347120BD"/>
    <w:rsid w:val="347C5D3F"/>
    <w:rsid w:val="34BB756E"/>
    <w:rsid w:val="34CD641D"/>
    <w:rsid w:val="35780FBB"/>
    <w:rsid w:val="35887450"/>
    <w:rsid w:val="35D501BC"/>
    <w:rsid w:val="36712CAA"/>
    <w:rsid w:val="36910587"/>
    <w:rsid w:val="36AE1B85"/>
    <w:rsid w:val="36E81BBC"/>
    <w:rsid w:val="37695060"/>
    <w:rsid w:val="378578B7"/>
    <w:rsid w:val="37C275E0"/>
    <w:rsid w:val="381E5E4A"/>
    <w:rsid w:val="38286CC9"/>
    <w:rsid w:val="384004B6"/>
    <w:rsid w:val="38BF1DF5"/>
    <w:rsid w:val="38E70932"/>
    <w:rsid w:val="38E73916"/>
    <w:rsid w:val="38F1355F"/>
    <w:rsid w:val="39050DB8"/>
    <w:rsid w:val="39104059"/>
    <w:rsid w:val="39785A2E"/>
    <w:rsid w:val="3A1840A9"/>
    <w:rsid w:val="3ABA5325"/>
    <w:rsid w:val="3AF24F9D"/>
    <w:rsid w:val="3AF472A4"/>
    <w:rsid w:val="3B47229E"/>
    <w:rsid w:val="3B506C62"/>
    <w:rsid w:val="3B64793D"/>
    <w:rsid w:val="3BC92571"/>
    <w:rsid w:val="3BEA054A"/>
    <w:rsid w:val="3C1557B6"/>
    <w:rsid w:val="3CF41B40"/>
    <w:rsid w:val="3CF5642B"/>
    <w:rsid w:val="3D3B124C"/>
    <w:rsid w:val="3DC70D32"/>
    <w:rsid w:val="3E304B29"/>
    <w:rsid w:val="3E424A46"/>
    <w:rsid w:val="3E481E73"/>
    <w:rsid w:val="3E684BB0"/>
    <w:rsid w:val="3EFE69D5"/>
    <w:rsid w:val="3F2A77CA"/>
    <w:rsid w:val="3F4436C4"/>
    <w:rsid w:val="3F9115F7"/>
    <w:rsid w:val="4028049C"/>
    <w:rsid w:val="40953369"/>
    <w:rsid w:val="40C854ED"/>
    <w:rsid w:val="40EC2740"/>
    <w:rsid w:val="410D73A4"/>
    <w:rsid w:val="4186746A"/>
    <w:rsid w:val="41A53138"/>
    <w:rsid w:val="41FE3818"/>
    <w:rsid w:val="42497F67"/>
    <w:rsid w:val="42AC04F6"/>
    <w:rsid w:val="42AC259C"/>
    <w:rsid w:val="42B31885"/>
    <w:rsid w:val="42E23D3A"/>
    <w:rsid w:val="4351002B"/>
    <w:rsid w:val="43B223B2"/>
    <w:rsid w:val="43CB4BD1"/>
    <w:rsid w:val="43FA3C0F"/>
    <w:rsid w:val="44250560"/>
    <w:rsid w:val="442C18EF"/>
    <w:rsid w:val="44734A5C"/>
    <w:rsid w:val="44881D43"/>
    <w:rsid w:val="44D2693A"/>
    <w:rsid w:val="4503750E"/>
    <w:rsid w:val="450E5498"/>
    <w:rsid w:val="45B21471"/>
    <w:rsid w:val="45B351AF"/>
    <w:rsid w:val="46130FB8"/>
    <w:rsid w:val="46583784"/>
    <w:rsid w:val="46C027C2"/>
    <w:rsid w:val="46D544C0"/>
    <w:rsid w:val="4775307B"/>
    <w:rsid w:val="477E6905"/>
    <w:rsid w:val="481D44F1"/>
    <w:rsid w:val="48EB1D78"/>
    <w:rsid w:val="48F63EC0"/>
    <w:rsid w:val="49843F7B"/>
    <w:rsid w:val="49F27137"/>
    <w:rsid w:val="4A1900B7"/>
    <w:rsid w:val="4A52383D"/>
    <w:rsid w:val="4AFA62A3"/>
    <w:rsid w:val="4B1507F2"/>
    <w:rsid w:val="4B273137"/>
    <w:rsid w:val="4B313C8F"/>
    <w:rsid w:val="4B517E8D"/>
    <w:rsid w:val="4B645E12"/>
    <w:rsid w:val="4B91250E"/>
    <w:rsid w:val="4BC5299D"/>
    <w:rsid w:val="4BCB00A6"/>
    <w:rsid w:val="4BD20D8F"/>
    <w:rsid w:val="4C196BFC"/>
    <w:rsid w:val="4C312198"/>
    <w:rsid w:val="4C52210E"/>
    <w:rsid w:val="4C5B7DD5"/>
    <w:rsid w:val="4C914690"/>
    <w:rsid w:val="4CF872B2"/>
    <w:rsid w:val="4D022D79"/>
    <w:rsid w:val="4D32704F"/>
    <w:rsid w:val="4D386DDA"/>
    <w:rsid w:val="4D616F75"/>
    <w:rsid w:val="4D8A0AED"/>
    <w:rsid w:val="4DA44BEC"/>
    <w:rsid w:val="4DB017E2"/>
    <w:rsid w:val="4DC9508C"/>
    <w:rsid w:val="4E126D21"/>
    <w:rsid w:val="4E2B2497"/>
    <w:rsid w:val="4E4B65E2"/>
    <w:rsid w:val="4E510FF9"/>
    <w:rsid w:val="4E62690D"/>
    <w:rsid w:val="4EC30020"/>
    <w:rsid w:val="4F247D92"/>
    <w:rsid w:val="4F4F0B87"/>
    <w:rsid w:val="4FA40ED3"/>
    <w:rsid w:val="4FC1444E"/>
    <w:rsid w:val="4FF0215E"/>
    <w:rsid w:val="4FF9121F"/>
    <w:rsid w:val="5001570E"/>
    <w:rsid w:val="5008134F"/>
    <w:rsid w:val="509A51F5"/>
    <w:rsid w:val="50AF190C"/>
    <w:rsid w:val="512027DB"/>
    <w:rsid w:val="513A1AEF"/>
    <w:rsid w:val="51960604"/>
    <w:rsid w:val="51D3292F"/>
    <w:rsid w:val="51D51818"/>
    <w:rsid w:val="51FD4034"/>
    <w:rsid w:val="522A67D5"/>
    <w:rsid w:val="52E35A2B"/>
    <w:rsid w:val="530F5C2C"/>
    <w:rsid w:val="532A7941"/>
    <w:rsid w:val="535624E4"/>
    <w:rsid w:val="53AE2320"/>
    <w:rsid w:val="54107839"/>
    <w:rsid w:val="5495703C"/>
    <w:rsid w:val="5511602F"/>
    <w:rsid w:val="55175B67"/>
    <w:rsid w:val="55313209"/>
    <w:rsid w:val="55365BD9"/>
    <w:rsid w:val="55C13C27"/>
    <w:rsid w:val="55E6075F"/>
    <w:rsid w:val="55F45FE4"/>
    <w:rsid w:val="56321214"/>
    <w:rsid w:val="56C87B9D"/>
    <w:rsid w:val="56C97471"/>
    <w:rsid w:val="576013D5"/>
    <w:rsid w:val="57622F78"/>
    <w:rsid w:val="57664CA5"/>
    <w:rsid w:val="57AE0494"/>
    <w:rsid w:val="57DB5DD4"/>
    <w:rsid w:val="580E15DF"/>
    <w:rsid w:val="585D494D"/>
    <w:rsid w:val="58871392"/>
    <w:rsid w:val="58944362"/>
    <w:rsid w:val="58CF5213"/>
    <w:rsid w:val="58D3772E"/>
    <w:rsid w:val="58DD4440"/>
    <w:rsid w:val="58E7385F"/>
    <w:rsid w:val="58FD2C26"/>
    <w:rsid w:val="594E2AAF"/>
    <w:rsid w:val="598002BB"/>
    <w:rsid w:val="59B9557B"/>
    <w:rsid w:val="5A9418A9"/>
    <w:rsid w:val="5B6D2AC1"/>
    <w:rsid w:val="5B750EEC"/>
    <w:rsid w:val="5B794B19"/>
    <w:rsid w:val="5BC16969"/>
    <w:rsid w:val="5BDE48EF"/>
    <w:rsid w:val="5C084598"/>
    <w:rsid w:val="5C21154B"/>
    <w:rsid w:val="5C294C3A"/>
    <w:rsid w:val="5C427AAA"/>
    <w:rsid w:val="5C4E644E"/>
    <w:rsid w:val="5CA375B4"/>
    <w:rsid w:val="5CA64A7E"/>
    <w:rsid w:val="5CF43232"/>
    <w:rsid w:val="5D0D200C"/>
    <w:rsid w:val="5D2D4B78"/>
    <w:rsid w:val="5D6D0B56"/>
    <w:rsid w:val="5D902A97"/>
    <w:rsid w:val="5E530E11"/>
    <w:rsid w:val="5E875C48"/>
    <w:rsid w:val="5EA40730"/>
    <w:rsid w:val="5EA85093"/>
    <w:rsid w:val="5EB14D27"/>
    <w:rsid w:val="5EEE7E76"/>
    <w:rsid w:val="5F053F00"/>
    <w:rsid w:val="5F5A119F"/>
    <w:rsid w:val="5F6D12E1"/>
    <w:rsid w:val="5F9573DD"/>
    <w:rsid w:val="5FF95B04"/>
    <w:rsid w:val="5FFA0406"/>
    <w:rsid w:val="601C0678"/>
    <w:rsid w:val="603718EF"/>
    <w:rsid w:val="603B33EE"/>
    <w:rsid w:val="604069F6"/>
    <w:rsid w:val="604A1623"/>
    <w:rsid w:val="60A72DA9"/>
    <w:rsid w:val="61121AB5"/>
    <w:rsid w:val="61740303"/>
    <w:rsid w:val="617F39BA"/>
    <w:rsid w:val="61DF3FED"/>
    <w:rsid w:val="6267026A"/>
    <w:rsid w:val="628C1A7E"/>
    <w:rsid w:val="62BD348D"/>
    <w:rsid w:val="62F40B6D"/>
    <w:rsid w:val="630B32EB"/>
    <w:rsid w:val="630E7AE7"/>
    <w:rsid w:val="631E2CC2"/>
    <w:rsid w:val="634265E1"/>
    <w:rsid w:val="63C15052"/>
    <w:rsid w:val="63E80F78"/>
    <w:rsid w:val="6417181C"/>
    <w:rsid w:val="642E350E"/>
    <w:rsid w:val="64C9520C"/>
    <w:rsid w:val="651E6BDA"/>
    <w:rsid w:val="656942F9"/>
    <w:rsid w:val="65992936"/>
    <w:rsid w:val="65AC2438"/>
    <w:rsid w:val="65C84A68"/>
    <w:rsid w:val="65CF641F"/>
    <w:rsid w:val="65FF2A82"/>
    <w:rsid w:val="66666A8A"/>
    <w:rsid w:val="66C40443"/>
    <w:rsid w:val="677F7687"/>
    <w:rsid w:val="67842699"/>
    <w:rsid w:val="6790594F"/>
    <w:rsid w:val="67A1421E"/>
    <w:rsid w:val="67A36AE4"/>
    <w:rsid w:val="68FC5484"/>
    <w:rsid w:val="696077C1"/>
    <w:rsid w:val="6A220F1A"/>
    <w:rsid w:val="6A5C6F39"/>
    <w:rsid w:val="6A897D1D"/>
    <w:rsid w:val="6A9E4A45"/>
    <w:rsid w:val="6AA46588"/>
    <w:rsid w:val="6AD62431"/>
    <w:rsid w:val="6ADA7AFB"/>
    <w:rsid w:val="6AFB6456"/>
    <w:rsid w:val="6AFF500F"/>
    <w:rsid w:val="6B20610B"/>
    <w:rsid w:val="6B4324FC"/>
    <w:rsid w:val="6B4C4B64"/>
    <w:rsid w:val="6C7C43E7"/>
    <w:rsid w:val="6CC2604B"/>
    <w:rsid w:val="6D1A412B"/>
    <w:rsid w:val="6E1174C9"/>
    <w:rsid w:val="6E2E0F51"/>
    <w:rsid w:val="6E6426DB"/>
    <w:rsid w:val="6E867CCA"/>
    <w:rsid w:val="6EA823E1"/>
    <w:rsid w:val="6EC22404"/>
    <w:rsid w:val="6F0A0B7A"/>
    <w:rsid w:val="6F177B94"/>
    <w:rsid w:val="7000353D"/>
    <w:rsid w:val="7015517D"/>
    <w:rsid w:val="70255F73"/>
    <w:rsid w:val="703B69EB"/>
    <w:rsid w:val="703D40CC"/>
    <w:rsid w:val="706E0E1E"/>
    <w:rsid w:val="709D754D"/>
    <w:rsid w:val="70F829D5"/>
    <w:rsid w:val="7130786B"/>
    <w:rsid w:val="71732FEF"/>
    <w:rsid w:val="71902C0D"/>
    <w:rsid w:val="719E17CE"/>
    <w:rsid w:val="71A01621"/>
    <w:rsid w:val="71A55242"/>
    <w:rsid w:val="71B96B6D"/>
    <w:rsid w:val="71C254BD"/>
    <w:rsid w:val="726C5429"/>
    <w:rsid w:val="72B8241C"/>
    <w:rsid w:val="72E8136F"/>
    <w:rsid w:val="72F9095B"/>
    <w:rsid w:val="7409377E"/>
    <w:rsid w:val="74122000"/>
    <w:rsid w:val="741959D5"/>
    <w:rsid w:val="74330443"/>
    <w:rsid w:val="74846A68"/>
    <w:rsid w:val="74C813FD"/>
    <w:rsid w:val="74FD1D00"/>
    <w:rsid w:val="753D2C53"/>
    <w:rsid w:val="757840E4"/>
    <w:rsid w:val="759C22A1"/>
    <w:rsid w:val="75AD2E60"/>
    <w:rsid w:val="762653D6"/>
    <w:rsid w:val="76452311"/>
    <w:rsid w:val="76AC293D"/>
    <w:rsid w:val="773300B5"/>
    <w:rsid w:val="776D3541"/>
    <w:rsid w:val="77725FFD"/>
    <w:rsid w:val="77737124"/>
    <w:rsid w:val="7788326C"/>
    <w:rsid w:val="77B27D81"/>
    <w:rsid w:val="77F752A4"/>
    <w:rsid w:val="78153022"/>
    <w:rsid w:val="78515A11"/>
    <w:rsid w:val="787B7A12"/>
    <w:rsid w:val="787F7564"/>
    <w:rsid w:val="78982E38"/>
    <w:rsid w:val="79583DAB"/>
    <w:rsid w:val="795D1F6F"/>
    <w:rsid w:val="79C64A86"/>
    <w:rsid w:val="79F71A7C"/>
    <w:rsid w:val="7A417D29"/>
    <w:rsid w:val="7A866BA8"/>
    <w:rsid w:val="7B027357"/>
    <w:rsid w:val="7B446F42"/>
    <w:rsid w:val="7BE41FA0"/>
    <w:rsid w:val="7C8B3F56"/>
    <w:rsid w:val="7C8C7845"/>
    <w:rsid w:val="7C8D4919"/>
    <w:rsid w:val="7DA71A0B"/>
    <w:rsid w:val="7DBD2FDC"/>
    <w:rsid w:val="7DBD4D8A"/>
    <w:rsid w:val="7E5E7889"/>
    <w:rsid w:val="7EC02D84"/>
    <w:rsid w:val="7F0550F2"/>
    <w:rsid w:val="7F157BDC"/>
    <w:rsid w:val="7F28671E"/>
    <w:rsid w:val="7F3B6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9"/>
    <w:pPr>
      <w:keepNext/>
      <w:keepLines/>
      <w:jc w:val="center"/>
      <w:outlineLvl w:val="0"/>
    </w:pPr>
    <w:rPr>
      <w:rFonts w:eastAsia="黑体"/>
      <w:b/>
      <w:kern w:val="44"/>
      <w:sz w:val="30"/>
    </w:rPr>
  </w:style>
  <w:style w:type="paragraph" w:styleId="3">
    <w:name w:val="heading 2"/>
    <w:basedOn w:val="1"/>
    <w:next w:val="1"/>
    <w:qFormat/>
    <w:uiPriority w:val="9"/>
    <w:pPr>
      <w:widowControl w:val="0"/>
      <w:spacing w:before="260" w:after="260"/>
      <w:outlineLvl w:val="1"/>
    </w:pPr>
    <w:rPr>
      <w:rFonts w:eastAsia="黑体"/>
      <w:b/>
      <w:bCs/>
      <w:sz w:val="28"/>
      <w:szCs w:val="32"/>
    </w:rPr>
  </w:style>
  <w:style w:type="paragraph" w:styleId="4">
    <w:name w:val="heading 3"/>
    <w:basedOn w:val="1"/>
    <w:next w:val="1"/>
    <w:qFormat/>
    <w:uiPriority w:val="9"/>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outlineLvl w:val="3"/>
    </w:pPr>
    <w:rPr>
      <w:rFonts w:ascii="Arial" w:hAnsi="Aria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7">
    <w:name w:val="caption"/>
    <w:basedOn w:val="1"/>
    <w:next w:val="1"/>
    <w:qFormat/>
    <w:uiPriority w:val="35"/>
    <w:pPr>
      <w:spacing w:beforeLines="50" w:afterLines="50"/>
      <w:ind w:left="200" w:leftChars="200"/>
      <w:jc w:val="center"/>
    </w:pPr>
    <w:rPr>
      <w:rFonts w:ascii="Calibri" w:hAnsi="Calibri" w:cs="Arial"/>
      <w:b/>
      <w:sz w:val="24"/>
      <w:szCs w:val="18"/>
    </w:rPr>
  </w:style>
  <w:style w:type="paragraph" w:styleId="8">
    <w:name w:val="annotation text"/>
    <w:basedOn w:val="1"/>
    <w:link w:val="28"/>
    <w:qFormat/>
    <w:uiPriority w:val="0"/>
  </w:style>
  <w:style w:type="paragraph" w:styleId="9">
    <w:name w:val="Body Text"/>
    <w:basedOn w:val="1"/>
    <w:semiHidden/>
    <w:qFormat/>
    <w:uiPriority w:val="0"/>
  </w:style>
  <w:style w:type="paragraph" w:styleId="10">
    <w:name w:val="Plain Text"/>
    <w:basedOn w:val="1"/>
    <w:unhideWhenUsed/>
    <w:qFormat/>
    <w:uiPriority w:val="99"/>
    <w:rPr>
      <w:rFonts w:ascii="宋体" w:hAnsi="Courier New"/>
      <w:sz w:val="20"/>
    </w:rPr>
  </w:style>
  <w:style w:type="paragraph" w:styleId="11">
    <w:name w:val="Balloon Text"/>
    <w:basedOn w:val="1"/>
    <w:link w:val="27"/>
    <w:qFormat/>
    <w:uiPriority w:val="0"/>
    <w:rPr>
      <w:sz w:val="18"/>
      <w:szCs w:val="18"/>
    </w:rPr>
  </w:style>
  <w:style w:type="paragraph" w:styleId="12">
    <w:name w:val="footer"/>
    <w:basedOn w:val="1"/>
    <w:unhideWhenUsed/>
    <w:qFormat/>
    <w:uiPriority w:val="99"/>
    <w:pPr>
      <w:tabs>
        <w:tab w:val="center" w:pos="4153"/>
        <w:tab w:val="right" w:pos="8306"/>
      </w:tabs>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Normal (Web)"/>
    <w:basedOn w:val="1"/>
    <w:unhideWhenUsed/>
    <w:qFormat/>
    <w:uiPriority w:val="0"/>
    <w:pPr>
      <w:adjustRightInd/>
      <w:snapToGrid/>
      <w:spacing w:before="100" w:beforeAutospacing="1" w:after="100" w:afterAutospacing="1"/>
    </w:pPr>
    <w:rPr>
      <w:rFonts w:ascii="宋体" w:hAnsi="宋体" w:eastAsia="宋体" w:cs="宋体"/>
      <w:sz w:val="24"/>
      <w:szCs w:val="24"/>
    </w:rPr>
  </w:style>
  <w:style w:type="paragraph" w:styleId="17">
    <w:name w:val="annotation subject"/>
    <w:basedOn w:val="8"/>
    <w:next w:val="8"/>
    <w:link w:val="29"/>
    <w:qFormat/>
    <w:uiPriority w:val="0"/>
    <w:rPr>
      <w:b/>
      <w:bCs/>
    </w:rPr>
  </w:style>
  <w:style w:type="paragraph" w:styleId="18">
    <w:name w:val="Body Text First Indent"/>
    <w:basedOn w:val="9"/>
    <w:unhideWhenUsed/>
    <w:qFormat/>
    <w:uiPriority w:val="99"/>
    <w:pPr>
      <w:ind w:firstLine="420" w:firstLineChars="100"/>
    </w:p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annotation reference"/>
    <w:basedOn w:val="21"/>
    <w:qFormat/>
    <w:uiPriority w:val="0"/>
    <w:rPr>
      <w:sz w:val="21"/>
      <w:szCs w:val="21"/>
    </w:rPr>
  </w:style>
  <w:style w:type="paragraph" w:customStyle="1" w:styleId="23">
    <w:name w:val="Table Text"/>
    <w:basedOn w:val="1"/>
    <w:semiHidden/>
    <w:qFormat/>
    <w:uiPriority w:val="0"/>
    <w:rPr>
      <w:rFonts w:ascii="宋体" w:hAnsi="宋体" w:eastAsia="宋体" w:cs="宋体"/>
      <w:sz w:val="20"/>
      <w:szCs w:val="20"/>
    </w:rPr>
  </w:style>
  <w:style w:type="table" w:customStyle="1" w:styleId="24">
    <w:name w:val="Table Normal"/>
    <w:unhideWhenUsed/>
    <w:qFormat/>
    <w:uiPriority w:val="0"/>
    <w:tblPr>
      <w:tblCellMar>
        <w:top w:w="0" w:type="dxa"/>
        <w:left w:w="0" w:type="dxa"/>
        <w:bottom w:w="0" w:type="dxa"/>
        <w:right w:w="0" w:type="dxa"/>
      </w:tblCellMar>
    </w:tblPr>
  </w:style>
  <w:style w:type="paragraph" w:customStyle="1" w:styleId="25">
    <w:name w:val="WPSOffice手动目录 1"/>
    <w:qFormat/>
    <w:uiPriority w:val="0"/>
    <w:rPr>
      <w:rFonts w:ascii="Times New Roman" w:hAnsi="Times New Roman" w:eastAsia="宋体" w:cs="Times New Roman"/>
      <w:lang w:val="en-US" w:eastAsia="zh-CN" w:bidi="ar-SA"/>
    </w:rPr>
  </w:style>
  <w:style w:type="paragraph" w:customStyle="1" w:styleId="26">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7">
    <w:name w:val="批注框文本 字符"/>
    <w:basedOn w:val="21"/>
    <w:link w:val="11"/>
    <w:qFormat/>
    <w:uiPriority w:val="0"/>
    <w:rPr>
      <w:rFonts w:ascii="Arial" w:hAnsi="Arial" w:eastAsia="Arial" w:cs="Arial"/>
      <w:snapToGrid w:val="0"/>
      <w:color w:val="000000"/>
      <w:sz w:val="18"/>
      <w:szCs w:val="18"/>
      <w:lang w:eastAsia="en-US"/>
    </w:rPr>
  </w:style>
  <w:style w:type="character" w:customStyle="1" w:styleId="28">
    <w:name w:val="批注文字 字符"/>
    <w:basedOn w:val="21"/>
    <w:link w:val="8"/>
    <w:qFormat/>
    <w:uiPriority w:val="0"/>
    <w:rPr>
      <w:rFonts w:ascii="Arial" w:hAnsi="Arial" w:eastAsia="Arial" w:cs="Arial"/>
      <w:snapToGrid w:val="0"/>
      <w:color w:val="000000"/>
      <w:sz w:val="21"/>
      <w:szCs w:val="21"/>
      <w:lang w:eastAsia="en-US"/>
    </w:rPr>
  </w:style>
  <w:style w:type="character" w:customStyle="1" w:styleId="29">
    <w:name w:val="批注主题 字符"/>
    <w:basedOn w:val="28"/>
    <w:link w:val="17"/>
    <w:qFormat/>
    <w:uiPriority w:val="0"/>
    <w:rPr>
      <w:rFonts w:ascii="Arial" w:hAnsi="Arial" w:eastAsia="Arial" w:cs="Arial"/>
      <w:b/>
      <w:bCs/>
      <w:snapToGrid w:val="0"/>
      <w:color w:val="000000"/>
      <w:sz w:val="21"/>
      <w:szCs w:val="21"/>
      <w:lang w:eastAsia="en-US"/>
    </w:rPr>
  </w:style>
  <w:style w:type="character" w:customStyle="1" w:styleId="30">
    <w:name w:val="font41"/>
    <w:basedOn w:val="21"/>
    <w:qFormat/>
    <w:uiPriority w:val="0"/>
    <w:rPr>
      <w:rFonts w:hint="eastAsia" w:ascii="宋体" w:hAnsi="宋体" w:eastAsia="宋体" w:cs="宋体"/>
      <w:color w:val="000000"/>
      <w:sz w:val="22"/>
      <w:szCs w:val="22"/>
      <w:u w:val="none"/>
    </w:rPr>
  </w:style>
  <w:style w:type="character" w:customStyle="1" w:styleId="31">
    <w:name w:val="font61"/>
    <w:basedOn w:val="21"/>
    <w:qFormat/>
    <w:uiPriority w:val="0"/>
    <w:rPr>
      <w:rFonts w:ascii="Calibri" w:hAnsi="Calibri" w:cs="Calibri"/>
      <w:color w:val="000000"/>
      <w:sz w:val="22"/>
      <w:szCs w:val="22"/>
      <w:u w:val="none"/>
    </w:rPr>
  </w:style>
  <w:style w:type="paragraph" w:customStyle="1" w:styleId="32">
    <w:name w:val="表格正文"/>
    <w:basedOn w:val="1"/>
    <w:qFormat/>
    <w:uiPriority w:val="0"/>
    <w:pPr>
      <w:widowControl/>
      <w:jc w:val="center"/>
    </w:pPr>
    <w:rPr>
      <w:rFonts w:ascii="宋体" w:hAnsi="宋体" w:eastAsia="宋体" w:cs="宋体"/>
      <w:color w:val="000000"/>
      <w:kern w:val="0"/>
    </w:rPr>
  </w:style>
  <w:style w:type="paragraph" w:customStyle="1" w:styleId="33">
    <w:name w:val="yy图表"/>
    <w:basedOn w:val="7"/>
    <w:qFormat/>
    <w:uiPriority w:val="0"/>
    <w:pPr>
      <w:spacing w:before="93" w:beforeLines="30" w:after="93" w:afterLines="30"/>
      <w:ind w:left="0" w:leftChars="0"/>
    </w:pPr>
    <w:rPr>
      <w:rFonts w:ascii="宋体" w:hAnsi="宋体" w:eastAsia="仿宋_GB2312" w:cs="Times New Roman"/>
      <w:szCs w:val="24"/>
    </w:rPr>
  </w:style>
  <w:style w:type="character" w:customStyle="1" w:styleId="34">
    <w:name w:val="font11"/>
    <w:basedOn w:val="21"/>
    <w:qFormat/>
    <w:uiPriority w:val="0"/>
    <w:rPr>
      <w:rFonts w:hint="eastAsia" w:ascii="宋体" w:hAnsi="宋体" w:eastAsia="宋体" w:cs="宋体"/>
      <w:color w:val="000000"/>
      <w:sz w:val="20"/>
      <w:szCs w:val="20"/>
      <w:u w:val="none"/>
    </w:rPr>
  </w:style>
  <w:style w:type="character" w:customStyle="1" w:styleId="35">
    <w:name w:val="font51"/>
    <w:basedOn w:val="21"/>
    <w:qFormat/>
    <w:uiPriority w:val="0"/>
    <w:rPr>
      <w:rFonts w:hint="eastAsia" w:ascii="宋体" w:hAnsi="宋体" w:eastAsia="宋体" w:cs="宋体"/>
      <w:color w:val="000000"/>
      <w:sz w:val="22"/>
      <w:szCs w:val="22"/>
      <w:u w:val="none"/>
      <w:vertAlign w:val="superscript"/>
    </w:rPr>
  </w:style>
  <w:style w:type="character" w:customStyle="1" w:styleId="36">
    <w:name w:val="font31"/>
    <w:basedOn w:val="2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chart" Target="charts/chart9.xml"/><Relationship Id="rId27" Type="http://schemas.openxmlformats.org/officeDocument/2006/relationships/chart" Target="charts/chart8.xml"/><Relationship Id="rId26" Type="http://schemas.openxmlformats.org/officeDocument/2006/relationships/chart" Target="charts/chart7.xml"/><Relationship Id="rId25" Type="http://schemas.openxmlformats.org/officeDocument/2006/relationships/chart" Target="charts/chart6.xml"/><Relationship Id="rId24" Type="http://schemas.openxmlformats.org/officeDocument/2006/relationships/image" Target="media/image9.png"/><Relationship Id="rId23" Type="http://schemas.openxmlformats.org/officeDocument/2006/relationships/image" Target="media/image8.jpeg"/><Relationship Id="rId22" Type="http://schemas.openxmlformats.org/officeDocument/2006/relationships/image" Target="media/image7.jpe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chart" Target="charts/chart5.xml"/><Relationship Id="rId16" Type="http://schemas.openxmlformats.org/officeDocument/2006/relationships/chart" Target="charts/chart4.xml"/><Relationship Id="rId15" Type="http://schemas.openxmlformats.org/officeDocument/2006/relationships/chart" Target="charts/chart3.xml"/><Relationship Id="rId14" Type="http://schemas.openxmlformats.org/officeDocument/2006/relationships/chart" Target="charts/chart2.xml"/><Relationship Id="rId13" Type="http://schemas.openxmlformats.org/officeDocument/2006/relationships/chart" Target="charts/chart1.xml"/><Relationship Id="rId12" Type="http://schemas.openxmlformats.org/officeDocument/2006/relationships/image" Target="media/image2.pn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2" Type="http://schemas.openxmlformats.org/officeDocument/2006/relationships/themeOverride" Target="../theme/themeOverride1.xml"/><Relationship Id="rId1" Type="http://schemas.openxmlformats.org/officeDocument/2006/relationships/oleObject" Target="file:///C:\Users\Administrator\Desktop\130-&#23665;&#19996;&#29616;&#20195;&#23398;&#38498;&#26412;&#31185;&#29983;-C0002-&#36817;&#19977;&#24180;&#21457;&#23637;&#36235;&#21183;2-psq-lh.xlsx" TargetMode="External"/></Relationships>
</file>

<file path=word/charts/_rels/chart7.xml.rels><?xml version="1.0" encoding="UTF-8" standalone="yes"?>
<Relationships xmlns="http://schemas.openxmlformats.org/package/2006/relationships"><Relationship Id="rId2" Type="http://schemas.openxmlformats.org/officeDocument/2006/relationships/themeOverride" Target="../theme/themeOverride2.xml"/><Relationship Id="rId1" Type="http://schemas.openxmlformats.org/officeDocument/2006/relationships/oleObject" Target="file:///C:\Users\Administrator\Desktop\130-&#23665;&#19996;&#29616;&#20195;&#23398;&#38498;&#26412;&#31185;&#29983;-C0002-&#36817;&#19977;&#24180;&#21457;&#23637;&#36235;&#21183;2-psq-lh.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E:\&#24352;&#25991;\&#21333;&#20301;&#35843;&#26597;\30-&#23665;&#19996;&#29616;&#20195;&#23398;&#38498;-13322-&#21333;&#20301;&#35843;&#26597;&#20998;&#26512;1-&#22995;&#21517;&#39318;&#23383;&#27597;.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E:\&#24352;&#25991;\&#21333;&#20301;&#35843;&#26597;\30-&#23665;&#19996;&#29616;&#20195;&#23398;&#38498;-13322-&#21333;&#20301;&#35843;&#26597;&#20998;&#26512;1-&#22995;&#21517;&#39318;&#23383;&#2759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
        <c:rich>
          <a:bodyPr/>
          <a:lstStyle/>
          <a:p>
            <a:pPr>
              <a:defRPr/>
            </a:pPr>
          </a:p>
        </c:rich>
      </c:tx>
    </c:title>
    <c:autoTitleDeleted val="0"/>
    <c:plotArea>
      <c:layout/>
      <c:barChart>
        <c:barDir val="col"/>
        <c:grouping val="clustered"/>
        <c:varyColors val="0"/>
        <c:ser>
          <c:idx val="0"/>
          <c:order val="0"/>
          <c:tx>
            <c:strRef>
              <c:f>Sheet0!$B$1</c:f>
              <c:strCache>
                <c:ptCount val="1"/>
                <c:pt idx="0">
                  <c:v>24-25年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正高级</c:v>
                </c:pt>
                <c:pt idx="1">
                  <c:v>副高级</c:v>
                </c:pt>
                <c:pt idx="2">
                  <c:v>中级</c:v>
                </c:pt>
                <c:pt idx="3">
                  <c:v>初级及以下</c:v>
                </c:pt>
              </c:strCache>
            </c:strRef>
          </c:cat>
          <c:val>
            <c:numRef>
              <c:f>Sheet0!$B$2:$B$5</c:f>
              <c:numCache>
                <c:formatCode>General</c:formatCode>
                <c:ptCount val="4"/>
                <c:pt idx="0">
                  <c:v>0.77</c:v>
                </c:pt>
                <c:pt idx="1">
                  <c:v>7.2</c:v>
                </c:pt>
                <c:pt idx="2">
                  <c:v>15.94</c:v>
                </c:pt>
                <c:pt idx="3">
                  <c:v>76.09</c:v>
                </c:pt>
              </c:numCache>
            </c:numRef>
          </c:val>
        </c:ser>
        <c:ser>
          <c:idx val="1"/>
          <c:order val="1"/>
          <c:tx>
            <c:strRef>
              <c:f>Sheet0!$C$1</c:f>
              <c:strCache>
                <c:ptCount val="1"/>
                <c:pt idx="0">
                  <c:v>23-24年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正高级</c:v>
                </c:pt>
                <c:pt idx="1">
                  <c:v>副高级</c:v>
                </c:pt>
                <c:pt idx="2">
                  <c:v>中级</c:v>
                </c:pt>
                <c:pt idx="3">
                  <c:v>初级及以下</c:v>
                </c:pt>
              </c:strCache>
            </c:strRef>
          </c:cat>
          <c:val>
            <c:numRef>
              <c:f>Sheet0!$C$2:$C$5</c:f>
              <c:numCache>
                <c:formatCode>General</c:formatCode>
                <c:ptCount val="4"/>
                <c:pt idx="0">
                  <c:v>0.89</c:v>
                </c:pt>
                <c:pt idx="1">
                  <c:v>12.05</c:v>
                </c:pt>
                <c:pt idx="2">
                  <c:v>14.14</c:v>
                </c:pt>
                <c:pt idx="3">
                  <c:v>72.92</c:v>
                </c:pt>
              </c:numCache>
            </c:numRef>
          </c:val>
        </c:ser>
        <c:dLbls>
          <c:showLegendKey val="0"/>
          <c:showVal val="1"/>
          <c:showCatName val="0"/>
          <c:showSerName val="0"/>
          <c:showPercent val="0"/>
          <c:showBubbleSize val="0"/>
        </c:dLbls>
        <c:gapWidth val="219"/>
        <c:overlap val="-27"/>
        <c:axId val="80361038"/>
        <c:axId val="147093178"/>
      </c:barChart>
      <c:catAx>
        <c:axId val="8036103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7093178"/>
        <c:crosses val="autoZero"/>
        <c:auto val="1"/>
        <c:lblAlgn val="ctr"/>
        <c:lblOffset val="100"/>
        <c:noMultiLvlLbl val="0"/>
      </c:catAx>
      <c:valAx>
        <c:axId val="14709317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61038"/>
        <c:crosses val="autoZero"/>
        <c:crossBetween val="between"/>
      </c:valAx>
      <c:spPr>
        <a:noFill/>
        <a:ln>
          <a:noFill/>
        </a:ln>
        <a:effectLst/>
      </c:spPr>
    </c:plotArea>
    <c:legend>
      <c:legendPos val="b"/>
      <c:layout>
        <c:manualLayout>
          <c:xMode val="edge"/>
          <c:yMode val="edge"/>
          <c:x val="0.257125"/>
          <c:y val="0.924166666666667"/>
          <c:w val="0.44625"/>
          <c:h val="0.05583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04ea506-db71-4a41-a6c9-b0abe716909a}"/>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
        <c:rich>
          <a:bodyPr/>
          <a:lstStyle/>
          <a:p>
            <a:pPr>
              <a:defRPr/>
            </a:pPr>
          </a:p>
        </c:rich>
      </c:tx>
    </c:title>
    <c:autoTitleDeleted val="0"/>
    <c:plotArea>
      <c:layout/>
      <c:barChart>
        <c:barDir val="col"/>
        <c:grouping val="clustered"/>
        <c:varyColors val="0"/>
        <c:ser>
          <c:idx val="0"/>
          <c:order val="0"/>
          <c:tx>
            <c:strRef>
              <c:f>Sheet0!$B$1</c:f>
              <c:strCache>
                <c:ptCount val="1"/>
                <c:pt idx="0">
                  <c:v>24-25年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博士</c:v>
                </c:pt>
                <c:pt idx="1">
                  <c:v>硕士</c:v>
                </c:pt>
                <c:pt idx="2">
                  <c:v>学士</c:v>
                </c:pt>
                <c:pt idx="3">
                  <c:v>无学位</c:v>
                </c:pt>
              </c:strCache>
            </c:strRef>
          </c:cat>
          <c:val>
            <c:numRef>
              <c:f>Sheet0!$B$2:$B$5</c:f>
              <c:numCache>
                <c:formatCode>General</c:formatCode>
                <c:ptCount val="4"/>
                <c:pt idx="0">
                  <c:v>1.16</c:v>
                </c:pt>
                <c:pt idx="1">
                  <c:v>87.92</c:v>
                </c:pt>
                <c:pt idx="2">
                  <c:v>10.54</c:v>
                </c:pt>
                <c:pt idx="3">
                  <c:v>0.39</c:v>
                </c:pt>
              </c:numCache>
            </c:numRef>
          </c:val>
        </c:ser>
        <c:ser>
          <c:idx val="1"/>
          <c:order val="1"/>
          <c:tx>
            <c:strRef>
              <c:f>Sheet0!$C$1</c:f>
              <c:strCache>
                <c:ptCount val="1"/>
                <c:pt idx="0">
                  <c:v>23-24年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博士</c:v>
                </c:pt>
                <c:pt idx="1">
                  <c:v>硕士</c:v>
                </c:pt>
                <c:pt idx="2">
                  <c:v>学士</c:v>
                </c:pt>
                <c:pt idx="3">
                  <c:v>无学位</c:v>
                </c:pt>
              </c:strCache>
            </c:strRef>
          </c:cat>
          <c:val>
            <c:numRef>
              <c:f>Sheet0!$C$2:$C$5</c:f>
              <c:numCache>
                <c:formatCode>General</c:formatCode>
                <c:ptCount val="4"/>
                <c:pt idx="0">
                  <c:v>0.74</c:v>
                </c:pt>
                <c:pt idx="1">
                  <c:v>88.54</c:v>
                </c:pt>
                <c:pt idx="2">
                  <c:v>10.57</c:v>
                </c:pt>
                <c:pt idx="3">
                  <c:v>0.15</c:v>
                </c:pt>
              </c:numCache>
            </c:numRef>
          </c:val>
        </c:ser>
        <c:dLbls>
          <c:showLegendKey val="0"/>
          <c:showVal val="1"/>
          <c:showCatName val="0"/>
          <c:showSerName val="0"/>
          <c:showPercent val="0"/>
          <c:showBubbleSize val="0"/>
        </c:dLbls>
        <c:gapWidth val="219"/>
        <c:overlap val="-27"/>
        <c:axId val="80361038"/>
        <c:axId val="147093178"/>
      </c:barChart>
      <c:catAx>
        <c:axId val="8036103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7093178"/>
        <c:crosses val="autoZero"/>
        <c:auto val="1"/>
        <c:lblAlgn val="ctr"/>
        <c:lblOffset val="100"/>
        <c:noMultiLvlLbl val="0"/>
      </c:catAx>
      <c:valAx>
        <c:axId val="14709317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61038"/>
        <c:crosses val="autoZero"/>
        <c:crossBetween val="between"/>
      </c:valAx>
      <c:spPr>
        <a:noFill/>
        <a:ln>
          <a:noFill/>
        </a:ln>
        <a:effectLst/>
      </c:spPr>
    </c:plotArea>
    <c:legend>
      <c:legendPos val="b"/>
      <c:layout>
        <c:manualLayout>
          <c:xMode val="edge"/>
          <c:yMode val="edge"/>
          <c:x val="0.257125"/>
          <c:y val="0.924166666666667"/>
          <c:w val="0.44625"/>
          <c:h val="0.05583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845f080-ceee-4df4-984a-657fba1583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
        <c:rich>
          <a:bodyPr/>
          <a:lstStyle/>
          <a:p>
            <a:pPr>
              <a:defRPr/>
            </a:pPr>
          </a:p>
        </c:rich>
      </c:tx>
    </c:title>
    <c:autoTitleDeleted val="0"/>
    <c:plotArea>
      <c:layout/>
      <c:barChart>
        <c:barDir val="col"/>
        <c:grouping val="clustered"/>
        <c:varyColors val="0"/>
        <c:ser>
          <c:idx val="0"/>
          <c:order val="0"/>
          <c:tx>
            <c:strRef>
              <c:f>Sheet0!$B$1</c:f>
              <c:strCache>
                <c:ptCount val="1"/>
                <c:pt idx="0">
                  <c:v>24-25年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&lt;=35岁</c:v>
                </c:pt>
                <c:pt idx="1">
                  <c:v>36-45岁</c:v>
                </c:pt>
                <c:pt idx="2">
                  <c:v>46-55岁</c:v>
                </c:pt>
                <c:pt idx="3">
                  <c:v>&gt;=56岁</c:v>
                </c:pt>
              </c:strCache>
            </c:strRef>
          </c:cat>
          <c:val>
            <c:numRef>
              <c:f>Sheet0!$B$2:$B$5</c:f>
              <c:numCache>
                <c:formatCode>General</c:formatCode>
                <c:ptCount val="4"/>
                <c:pt idx="0">
                  <c:v>84.58</c:v>
                </c:pt>
                <c:pt idx="1">
                  <c:v>13.75</c:v>
                </c:pt>
                <c:pt idx="2">
                  <c:v>1.67</c:v>
                </c:pt>
                <c:pt idx="3">
                  <c:v>0</c:v>
                </c:pt>
              </c:numCache>
            </c:numRef>
          </c:val>
        </c:ser>
        <c:ser>
          <c:idx val="1"/>
          <c:order val="1"/>
          <c:tx>
            <c:strRef>
              <c:f>Sheet0!$C$1</c:f>
              <c:strCache>
                <c:ptCount val="1"/>
                <c:pt idx="0">
                  <c:v>23-24年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&lt;=35岁</c:v>
                </c:pt>
                <c:pt idx="1">
                  <c:v>36-45岁</c:v>
                </c:pt>
                <c:pt idx="2">
                  <c:v>46-55岁</c:v>
                </c:pt>
                <c:pt idx="3">
                  <c:v>&gt;=56岁</c:v>
                </c:pt>
              </c:strCache>
            </c:strRef>
          </c:cat>
          <c:val>
            <c:numRef>
              <c:f>Sheet0!$C$2:$C$5</c:f>
              <c:numCache>
                <c:formatCode>General</c:formatCode>
                <c:ptCount val="4"/>
                <c:pt idx="0">
                  <c:v>85.71</c:v>
                </c:pt>
                <c:pt idx="1">
                  <c:v>12.65</c:v>
                </c:pt>
                <c:pt idx="2">
                  <c:v>1.04</c:v>
                </c:pt>
                <c:pt idx="3">
                  <c:v>0.6</c:v>
                </c:pt>
              </c:numCache>
            </c:numRef>
          </c:val>
        </c:ser>
        <c:dLbls>
          <c:showLegendKey val="0"/>
          <c:showVal val="1"/>
          <c:showCatName val="0"/>
          <c:showSerName val="0"/>
          <c:showPercent val="0"/>
          <c:showBubbleSize val="0"/>
        </c:dLbls>
        <c:gapWidth val="219"/>
        <c:overlap val="-27"/>
        <c:axId val="80361038"/>
        <c:axId val="147093178"/>
      </c:barChart>
      <c:catAx>
        <c:axId val="8036103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7093178"/>
        <c:crosses val="autoZero"/>
        <c:auto val="1"/>
        <c:lblAlgn val="ctr"/>
        <c:lblOffset val="100"/>
        <c:noMultiLvlLbl val="0"/>
      </c:catAx>
      <c:valAx>
        <c:axId val="14709317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61038"/>
        <c:crosses val="autoZero"/>
        <c:crossBetween val="between"/>
      </c:valAx>
      <c:spPr>
        <a:noFill/>
        <a:ln>
          <a:noFill/>
        </a:ln>
        <a:effectLst/>
      </c:spPr>
    </c:plotArea>
    <c:legend>
      <c:legendPos val="b"/>
      <c:layout>
        <c:manualLayout>
          <c:xMode val="edge"/>
          <c:yMode val="edge"/>
          <c:x val="0.257125"/>
          <c:y val="0.924166666666667"/>
          <c:w val="0.44625"/>
          <c:h val="0.05583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200f692-3da8-4bd0-a45e-231d46223b8b}"/>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
        <c:rich>
          <a:bodyPr/>
          <a:lstStyle/>
          <a:p>
            <a:pPr>
              <a:defRPr/>
            </a:pPr>
          </a:p>
        </c:rich>
      </c:tx>
    </c:title>
    <c:autoTitleDeleted val="0"/>
    <c:plotArea>
      <c:layout/>
      <c:barChart>
        <c:barDir val="col"/>
        <c:grouping val="clustered"/>
        <c:varyColors val="0"/>
        <c:ser>
          <c:idx val="0"/>
          <c:order val="0"/>
          <c:tx>
            <c:strRef>
              <c:f>Sheet0!$B$1</c:f>
              <c:strCache>
                <c:ptCount val="1"/>
                <c:pt idx="0">
                  <c:v>比例</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Sheet0!$A$2:$A$5</c:f>
              <c:strCache>
                <c:ptCount val="4"/>
                <c:pt idx="0">
                  <c:v>正高级</c:v>
                </c:pt>
                <c:pt idx="1">
                  <c:v>教授</c:v>
                </c:pt>
                <c:pt idx="2">
                  <c:v>副高级</c:v>
                </c:pt>
                <c:pt idx="3">
                  <c:v>副教授</c:v>
                </c:pt>
              </c:strCache>
            </c:strRef>
          </c:cat>
          <c:val>
            <c:numRef>
              <c:f>Sheet0!$B$2:$B$5</c:f>
              <c:numCache>
                <c:formatCode>General</c:formatCode>
                <c:ptCount val="4"/>
                <c:pt idx="0">
                  <c:v>9.8</c:v>
                </c:pt>
                <c:pt idx="1">
                  <c:v>7.27</c:v>
                </c:pt>
                <c:pt idx="2">
                  <c:v>17.91</c:v>
                </c:pt>
                <c:pt idx="3">
                  <c:v>13.28</c:v>
                </c:pt>
              </c:numCache>
            </c:numRef>
          </c:val>
        </c:ser>
        <c:dLbls>
          <c:showLegendKey val="0"/>
          <c:showVal val="1"/>
          <c:showCatName val="0"/>
          <c:showSerName val="0"/>
          <c:showPercent val="0"/>
          <c:showBubbleSize val="0"/>
        </c:dLbls>
        <c:gapWidth val="219"/>
        <c:overlap val="-27"/>
        <c:axId val="80361038"/>
        <c:axId val="147093178"/>
      </c:barChart>
      <c:catAx>
        <c:axId val="8036103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7093178"/>
        <c:crosses val="autoZero"/>
        <c:auto val="1"/>
        <c:lblAlgn val="ctr"/>
        <c:lblOffset val="100"/>
        <c:noMultiLvlLbl val="0"/>
      </c:catAx>
      <c:valAx>
        <c:axId val="14709317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61038"/>
        <c:crosses val="autoZero"/>
        <c:crossBetween val="between"/>
      </c:valAx>
      <c:spPr>
        <a:noFill/>
        <a:ln>
          <a:noFill/>
        </a:ln>
        <a:effectLst/>
      </c:spPr>
    </c:plotArea>
    <c:legend>
      <c:legendPos val="b"/>
      <c:layout>
        <c:manualLayout>
          <c:xMode val="edge"/>
          <c:yMode val="edge"/>
          <c:x val="0.257125"/>
          <c:y val="0.924166666666667"/>
          <c:w val="0.44625"/>
          <c:h val="0.05583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460063b-2f38-44d2-ba6e-490f4c0de32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x>
        <c:rich>
          <a:bodyPr/>
          <a:lstStyle/>
          <a:p>
            <a:pPr>
              <a:defRPr/>
            </a:pPr>
          </a:p>
        </c:rich>
      </c:tx>
    </c:title>
    <c:autoTitleDeleted val="0"/>
    <c:plotArea>
      <c:layout/>
      <c:barChart>
        <c:barDir val="col"/>
        <c:grouping val="clustered"/>
        <c:varyColors val="0"/>
        <c:ser>
          <c:idx val="0"/>
          <c:order val="0"/>
          <c:tx>
            <c:strRef>
              <c:f>Sheet0!$B$1</c:f>
              <c:strCache>
                <c:ptCount val="1"/>
                <c:pt idx="0">
                  <c:v>24-25年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Sheet0!$A$2:$A$3</c:f>
              <c:strCache>
                <c:ptCount val="2"/>
                <c:pt idx="0">
                  <c:v>教授授课人数比例</c:v>
                </c:pt>
                <c:pt idx="1">
                  <c:v>教授授课门数占比</c:v>
                </c:pt>
              </c:strCache>
            </c:strRef>
          </c:cat>
          <c:val>
            <c:numRef>
              <c:f>Sheet0!$B$2:$B$3</c:f>
              <c:numCache>
                <c:formatCode>General</c:formatCode>
                <c:ptCount val="2"/>
                <c:pt idx="0">
                  <c:v>68.42</c:v>
                </c:pt>
                <c:pt idx="1">
                  <c:v>7.27</c:v>
                </c:pt>
              </c:numCache>
            </c:numRef>
          </c:val>
        </c:ser>
        <c:ser>
          <c:idx val="1"/>
          <c:order val="1"/>
          <c:tx>
            <c:strRef>
              <c:f>Sheet0!$C$1</c:f>
              <c:strCache>
                <c:ptCount val="1"/>
                <c:pt idx="0">
                  <c:v>23-24年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Sheet0!$A$2:$A$3</c:f>
              <c:strCache>
                <c:ptCount val="2"/>
                <c:pt idx="0">
                  <c:v>教授授课人数比例</c:v>
                </c:pt>
                <c:pt idx="1">
                  <c:v>教授授课门数占比</c:v>
                </c:pt>
              </c:strCache>
            </c:strRef>
          </c:cat>
          <c:val>
            <c:numRef>
              <c:f>Sheet0!$C$2:$C$3</c:f>
              <c:numCache>
                <c:formatCode>General</c:formatCode>
                <c:ptCount val="2"/>
                <c:pt idx="0">
                  <c:v>44.44</c:v>
                </c:pt>
                <c:pt idx="1">
                  <c:v>6.58</c:v>
                </c:pt>
              </c:numCache>
            </c:numRef>
          </c:val>
        </c:ser>
        <c:dLbls>
          <c:showLegendKey val="0"/>
          <c:showVal val="1"/>
          <c:showCatName val="0"/>
          <c:showSerName val="0"/>
          <c:showPercent val="0"/>
          <c:showBubbleSize val="0"/>
        </c:dLbls>
        <c:gapWidth val="219"/>
        <c:overlap val="-27"/>
        <c:axId val="80361038"/>
        <c:axId val="147093178"/>
      </c:barChart>
      <c:catAx>
        <c:axId val="8036103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7093178"/>
        <c:crosses val="autoZero"/>
        <c:auto val="1"/>
        <c:lblAlgn val="ctr"/>
        <c:lblOffset val="100"/>
        <c:noMultiLvlLbl val="0"/>
      </c:catAx>
      <c:valAx>
        <c:axId val="14709317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361038"/>
        <c:crosses val="autoZero"/>
        <c:crossBetween val="between"/>
      </c:valAx>
      <c:spPr>
        <a:noFill/>
        <a:ln>
          <a:noFill/>
        </a:ln>
        <a:effectLst/>
      </c:spPr>
    </c:plotArea>
    <c:legend>
      <c:legendPos val="b"/>
      <c:layout>
        <c:manualLayout>
          <c:xMode val="edge"/>
          <c:yMode val="edge"/>
          <c:x val="0.257125"/>
          <c:y val="0.924166666666667"/>
          <c:w val="0.44625"/>
          <c:h val="0.05583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0e81636-01ef-47f0-95f6-939223abfa42}"/>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276381909547739"/>
          <c:y val="0.114099357489816"/>
          <c:w val="0.944723618090452"/>
          <c:h val="0.75577629719362"/>
        </c:manualLayout>
      </c:layout>
      <c:barChart>
        <c:barDir val="col"/>
        <c:grouping val="clustered"/>
        <c:varyColors val="0"/>
        <c:ser>
          <c:idx val="0"/>
          <c:order val="0"/>
          <c:spPr>
            <a:solidFill>
              <a:schemeClr val="accent1"/>
            </a:solidFill>
            <a:ln>
              <a:noFill/>
              <a:prstDash val="solid"/>
            </a:ln>
          </c:spPr>
          <c:invertIfNegative val="0"/>
          <c:dLbls>
            <c:spPr>
              <a:noFill/>
              <a:ln>
                <a:noFill/>
                <a:prstDash val="solid"/>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zyzb!$E$2:$E$7</c:f>
              <c:strCache>
                <c:ptCount val="6"/>
                <c:pt idx="0">
                  <c:v>就业满意度</c:v>
                </c:pt>
                <c:pt idx="1">
                  <c:v>专业对口度</c:v>
                </c:pt>
                <c:pt idx="2">
                  <c:v>人岗匹配度</c:v>
                </c:pt>
                <c:pt idx="3">
                  <c:v>职业吻合度</c:v>
                </c:pt>
                <c:pt idx="4">
                  <c:v>工作稳定度</c:v>
                </c:pt>
                <c:pt idx="5">
                  <c:v>单位满意度</c:v>
                </c:pt>
              </c:strCache>
            </c:strRef>
          </c:cat>
          <c:val>
            <c:numRef>
              <c:f>zyzb!$F$2:$F$7</c:f>
              <c:numCache>
                <c:formatCode>0.00_);[Red]\(0.00\)</c:formatCode>
                <c:ptCount val="6"/>
                <c:pt idx="0">
                  <c:v>98.79</c:v>
                </c:pt>
                <c:pt idx="1">
                  <c:v>84.31</c:v>
                </c:pt>
                <c:pt idx="2">
                  <c:v>97.42</c:v>
                </c:pt>
                <c:pt idx="3">
                  <c:v>88.45</c:v>
                </c:pt>
                <c:pt idx="4">
                  <c:v>73.97</c:v>
                </c:pt>
                <c:pt idx="5">
                  <c:v>99.1</c:v>
                </c:pt>
              </c:numCache>
            </c:numRef>
          </c:val>
        </c:ser>
        <c:dLbls>
          <c:showLegendKey val="0"/>
          <c:showVal val="0"/>
          <c:showCatName val="0"/>
          <c:showSerName val="0"/>
          <c:showPercent val="0"/>
          <c:showBubbleSize val="0"/>
        </c:dLbls>
        <c:gapWidth val="219"/>
        <c:overlap val="-27"/>
        <c:axId val="595224480"/>
        <c:axId val="595224872"/>
      </c:barChart>
      <c:catAx>
        <c:axId val="59522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5224872"/>
        <c:crosses val="autoZero"/>
        <c:auto val="1"/>
        <c:lblAlgn val="ctr"/>
        <c:lblOffset val="100"/>
        <c:noMultiLvlLbl val="0"/>
      </c:catAx>
      <c:valAx>
        <c:axId val="595224872"/>
        <c:scaling>
          <c:orientation val="minMax"/>
          <c:max val="100"/>
        </c:scaling>
        <c:delete val="1"/>
        <c:axPos val="l"/>
        <c:numFmt formatCode="0.00_);[Red]\(0.00\)" sourceLinked="1"/>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95224480"/>
        <c:crosses val="autoZero"/>
        <c:crossBetween val="between"/>
      </c:valAx>
    </c:plotArea>
    <c:plotVisOnly val="1"/>
    <c:dispBlanksAs val="gap"/>
    <c:showDLblsOverMax val="0"/>
    <c:extLst>
      <c:ext uri="{0b15fc19-7d7d-44ad-8c2d-2c3a37ce22c3}">
        <chartProps xmlns="https://web.wps.cn/et/2018/main" chartId="{090aa5b6-72f7-4aae-98a0-c1da36b6d246}"/>
      </c:ext>
    </c:extLst>
  </c:chart>
  <c:spPr>
    <a:solidFill>
      <a:schemeClr val="bg1"/>
    </a:solidFill>
    <a:ln w="9525" cap="flat" cmpd="sng" algn="ctr">
      <a:solidFill>
        <a:schemeClr val="tx1">
          <a:lumMod val="15000"/>
          <a:lumOff val="85000"/>
        </a:schemeClr>
      </a:solidFill>
      <a:prstDash val="solid"/>
      <a:round/>
    </a:ln>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1411775723826"/>
          <c:y val="0.0503263089896468"/>
          <c:w val="0.82450042499136"/>
          <c:h val="0.636140456867444"/>
        </c:manualLayout>
      </c:layout>
      <c:barChart>
        <c:barDir val="col"/>
        <c:grouping val="clustered"/>
        <c:varyColors val="0"/>
        <c:ser>
          <c:idx val="0"/>
          <c:order val="0"/>
          <c:tx>
            <c:strRef>
              <c:f>zyzb!$F$1</c:f>
              <c:strCache>
                <c:ptCount val="1"/>
                <c:pt idx="0">
                  <c:v>本校</c:v>
                </c:pt>
              </c:strCache>
            </c:strRef>
          </c:tx>
          <c:spPr>
            <a:solidFill>
              <a:schemeClr val="accent1"/>
            </a:solidFill>
            <a:ln>
              <a:noFill/>
              <a:prstDash val="solid"/>
            </a:ln>
          </c:spPr>
          <c:invertIfNegative val="0"/>
          <c:dLbls>
            <c:delete val="1"/>
          </c:dLbls>
          <c:cat>
            <c:strRef>
              <c:f>zyzb!$E$2:$E$7</c:f>
              <c:strCache>
                <c:ptCount val="6"/>
                <c:pt idx="0">
                  <c:v>就业满意度</c:v>
                </c:pt>
                <c:pt idx="1">
                  <c:v>专业对口度</c:v>
                </c:pt>
                <c:pt idx="2">
                  <c:v>人岗匹配度</c:v>
                </c:pt>
                <c:pt idx="3">
                  <c:v>职业吻合度</c:v>
                </c:pt>
                <c:pt idx="4">
                  <c:v>工作稳定度</c:v>
                </c:pt>
                <c:pt idx="5">
                  <c:v>单位满意度</c:v>
                </c:pt>
              </c:strCache>
            </c:strRef>
          </c:cat>
          <c:val>
            <c:numRef>
              <c:f>zyzb!$F$2:$F$7</c:f>
              <c:numCache>
                <c:formatCode>0.00_);[Red]\(0.00\)</c:formatCode>
                <c:ptCount val="6"/>
                <c:pt idx="0">
                  <c:v>98.79</c:v>
                </c:pt>
                <c:pt idx="1">
                  <c:v>84.31</c:v>
                </c:pt>
                <c:pt idx="2">
                  <c:v>97.42</c:v>
                </c:pt>
                <c:pt idx="3">
                  <c:v>88.45</c:v>
                </c:pt>
                <c:pt idx="4">
                  <c:v>73.97</c:v>
                </c:pt>
                <c:pt idx="5">
                  <c:v>99.1</c:v>
                </c:pt>
              </c:numCache>
            </c:numRef>
          </c:val>
        </c:ser>
        <c:ser>
          <c:idx val="1"/>
          <c:order val="1"/>
          <c:tx>
            <c:strRef>
              <c:f>zyzb!$H$1</c:f>
              <c:strCache>
                <c:ptCount val="1"/>
                <c:pt idx="0">
                  <c:v>本科高校</c:v>
                </c:pt>
              </c:strCache>
            </c:strRef>
          </c:tx>
          <c:spPr>
            <a:solidFill>
              <a:schemeClr val="accent3"/>
            </a:solidFill>
            <a:ln>
              <a:noFill/>
              <a:prstDash val="solid"/>
            </a:ln>
          </c:spPr>
          <c:invertIfNegative val="0"/>
          <c:dLbls>
            <c:delete val="1"/>
          </c:dLbls>
          <c:cat>
            <c:strRef>
              <c:f>zyzb!$E$2:$E$7</c:f>
              <c:strCache>
                <c:ptCount val="6"/>
                <c:pt idx="0">
                  <c:v>就业满意度</c:v>
                </c:pt>
                <c:pt idx="1">
                  <c:v>专业对口度</c:v>
                </c:pt>
                <c:pt idx="2">
                  <c:v>人岗匹配度</c:v>
                </c:pt>
                <c:pt idx="3">
                  <c:v>职业吻合度</c:v>
                </c:pt>
                <c:pt idx="4">
                  <c:v>工作稳定度</c:v>
                </c:pt>
                <c:pt idx="5">
                  <c:v>单位满意度</c:v>
                </c:pt>
              </c:strCache>
            </c:strRef>
          </c:cat>
          <c:val>
            <c:numRef>
              <c:f>zyzb!$H$2:$H$7</c:f>
              <c:numCache>
                <c:formatCode>0.00_);[Red]\(0.00\)</c:formatCode>
                <c:ptCount val="6"/>
                <c:pt idx="0">
                  <c:v>98.1789225868993</c:v>
                </c:pt>
                <c:pt idx="1">
                  <c:v>85.3552139592854</c:v>
                </c:pt>
                <c:pt idx="2">
                  <c:v>97.8396343996676</c:v>
                </c:pt>
                <c:pt idx="3">
                  <c:v>91.5478003969903</c:v>
                </c:pt>
                <c:pt idx="4">
                  <c:v>76.386003785256</c:v>
                </c:pt>
                <c:pt idx="5">
                  <c:v>99.163272861903</c:v>
                </c:pt>
              </c:numCache>
            </c:numRef>
          </c:val>
        </c:ser>
        <c:dLbls>
          <c:showLegendKey val="0"/>
          <c:showVal val="0"/>
          <c:showCatName val="0"/>
          <c:showSerName val="0"/>
          <c:showPercent val="0"/>
          <c:showBubbleSize val="0"/>
        </c:dLbls>
        <c:gapWidth val="219"/>
        <c:overlap val="-27"/>
        <c:axId val="595225656"/>
        <c:axId val="183148120"/>
      </c:barChart>
      <c:catAx>
        <c:axId val="595225656"/>
        <c:scaling>
          <c:orientation val="minMax"/>
        </c:scaling>
        <c:delete val="0"/>
        <c:axPos val="b"/>
        <c:numFmt formatCode="0.00%" sourceLinked="0"/>
        <c:majorTickMark val="none"/>
        <c:minorTickMark val="none"/>
        <c:tickLblPos val="nextTo"/>
        <c:spPr>
          <a:noFill/>
          <a:ln w="9525" cap="flat" cmpd="sng" algn="ctr">
            <a:solidFill>
              <a:schemeClr val="tx1">
                <a:lumMod val="15000"/>
                <a:lumOff val="85000"/>
              </a:schemeClr>
            </a:solidFill>
            <a:prstDash val="solid"/>
            <a:round/>
          </a:ln>
        </c:spPr>
        <c:txPr>
          <a:bodyPr rot="-6000000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crossAx val="183148120"/>
        <c:crosses val="autoZero"/>
        <c:auto val="1"/>
        <c:lblAlgn val="ctr"/>
        <c:lblOffset val="100"/>
        <c:noMultiLvlLbl val="0"/>
      </c:catAx>
      <c:valAx>
        <c:axId val="183148120"/>
        <c:scaling>
          <c:orientation val="minMax"/>
          <c:max val="100"/>
        </c:scaling>
        <c:delete val="0"/>
        <c:axPos val="l"/>
        <c:majorGridlines>
          <c:spPr>
            <a:ln w="9525" cap="flat" cmpd="sng" algn="ctr">
              <a:solidFill>
                <a:schemeClr val="tx1">
                  <a:lumMod val="15000"/>
                  <a:lumOff val="85000"/>
                </a:schemeClr>
              </a:solidFill>
              <a:prstDash val="solid"/>
              <a:round/>
            </a:ln>
          </c:spPr>
        </c:majorGridlines>
        <c:numFmt formatCode="#,##0.00_);[Red]\(#,##0.00\)" sourceLinked="0"/>
        <c:majorTickMark val="none"/>
        <c:minorTickMark val="none"/>
        <c:tickLblPos val="nextTo"/>
        <c:spPr>
          <a:noFill/>
          <a:ln w="6350" cap="flat" cmpd="sng" algn="ctr">
            <a:noFill/>
            <a:prstDash val="solid"/>
            <a:round/>
          </a:ln>
        </c:spPr>
        <c:txPr>
          <a:bodyPr rot="-6000000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crossAx val="595225656"/>
        <c:crosses val="autoZero"/>
        <c:crossBetween val="between"/>
      </c:valAx>
      <c:dTable>
        <c:showHorzBorder val="1"/>
        <c:showVertBorder val="1"/>
        <c:showOutline val="1"/>
        <c:showKeys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dTable>
    </c:plotArea>
    <c:plotVisOnly val="1"/>
    <c:dispBlanksAs val="gap"/>
    <c:showDLblsOverMax val="0"/>
    <c:extLst>
      <c:ext uri="{0b15fc19-7d7d-44ad-8c2d-2c3a37ce22c3}">
        <chartProps xmlns="https://web.wps.cn/et/2018/main" chartId="{51f2e901-f441-4b85-9315-387c0f2f4d51}"/>
      </c:ext>
    </c:extLst>
  </c:chart>
  <c:spPr>
    <a:solidFill>
      <a:schemeClr val="bg1"/>
    </a:solidFill>
    <a:ln w="9525" cap="flat" cmpd="sng" algn="ctr">
      <a:solidFill>
        <a:schemeClr val="tx1">
          <a:lumMod val="15000"/>
          <a:lumOff val="85000"/>
        </a:schemeClr>
      </a:solidFill>
      <a:prstDash val="solid"/>
      <a:round/>
    </a:ln>
  </c:spPr>
  <c:txPr>
    <a:bodyPr/>
    <a:lstStyle/>
    <a:p>
      <a:pPr>
        <a:defRPr lang="zh-CN" sz="900" baseline="0"/>
      </a:pP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6795177573758"/>
          <c:y val="0.0316325010929461"/>
          <c:w val="0.733288245608303"/>
          <c:h val="0.968367498907054"/>
        </c:manualLayout>
      </c:layout>
      <c:barChart>
        <c:barDir val="bar"/>
        <c:grouping val="clustered"/>
        <c:varyColors val="0"/>
        <c:ser>
          <c:idx val="0"/>
          <c:order val="0"/>
          <c:spPr>
            <a:solidFill>
              <a:schemeClr val="accent1"/>
            </a:solidFill>
            <a:ln>
              <a:noFill/>
              <a:prstDash val="solid"/>
            </a:ln>
          </c:spPr>
          <c:invertIfNegative val="0"/>
          <c:dLbls>
            <c:spPr>
              <a:noFill/>
              <a:ln>
                <a:noFill/>
                <a:prstDash val="solid"/>
              </a:ln>
              <a:effectLst/>
            </c:spPr>
            <c:txPr>
              <a:bodyPr rot="0" spcFirstLastPara="0" vertOverflow="ellipsis" vert="horz" wrap="square" lIns="38100" tIns="19050" rIns="38100" bIns="19050" anchor="ctr" anchorCtr="1"/>
              <a:lstStyle/>
              <a:p>
                <a:pPr>
                  <a:defRPr lang="zh-CN" sz="900" b="0" i="0" u="none" strike="noStrike" kern="1200" baseline="0">
                    <a:solidFill>
                      <a:sysClr val="windowText" lastClr="000000"/>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'3满意度'!$P$4:$P$7</c:f>
              <c:strCache>
                <c:ptCount val="4"/>
                <c:pt idx="0">
                  <c:v>很满意</c:v>
                </c:pt>
                <c:pt idx="1">
                  <c:v>较满意</c:v>
                </c:pt>
                <c:pt idx="2">
                  <c:v>基本满意</c:v>
                </c:pt>
                <c:pt idx="3">
                  <c:v>不满意</c:v>
                </c:pt>
              </c:strCache>
            </c:strRef>
          </c:cat>
          <c:val>
            <c:numRef>
              <c:f>'3满意度'!$R$4:$R$7</c:f>
              <c:numCache>
                <c:formatCode>0.00%</c:formatCode>
                <c:ptCount val="4"/>
                <c:pt idx="0">
                  <c:v>0.6063</c:v>
                </c:pt>
                <c:pt idx="1">
                  <c:v>0.3394</c:v>
                </c:pt>
                <c:pt idx="2">
                  <c:v>0.0453000000000001</c:v>
                </c:pt>
                <c:pt idx="3">
                  <c:v>0.009</c:v>
                </c:pt>
              </c:numCache>
            </c:numRef>
          </c:val>
        </c:ser>
        <c:dLbls>
          <c:showLegendKey val="0"/>
          <c:showVal val="0"/>
          <c:showCatName val="0"/>
          <c:showSerName val="0"/>
          <c:showPercent val="0"/>
          <c:showBubbleSize val="0"/>
        </c:dLbls>
        <c:gapWidth val="219"/>
        <c:axId val="599014832"/>
        <c:axId val="599015224"/>
      </c:barChart>
      <c:catAx>
        <c:axId val="5990148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prstDash val="solid"/>
            <a:round/>
          </a:ln>
        </c:spPr>
        <c:txPr>
          <a:bodyPr rot="-60000000" spcFirstLastPara="0" vertOverflow="ellipsis" vert="horz" wrap="square" anchor="ctr" anchorCtr="1"/>
          <a:lstStyle/>
          <a:p>
            <a:pPr>
              <a:defRPr lang="zh-CN" sz="900" b="0" i="0" u="none" strike="noStrike" kern="1200" baseline="0">
                <a:solidFill>
                  <a:sysClr val="windowText" lastClr="000000"/>
                </a:solidFill>
                <a:latin typeface="+mn-lt"/>
                <a:ea typeface="+mn-ea"/>
                <a:cs typeface="+mn-cs"/>
              </a:defRPr>
            </a:pPr>
          </a:p>
        </c:txPr>
        <c:crossAx val="599015224"/>
        <c:crosses val="autoZero"/>
        <c:auto val="1"/>
        <c:lblAlgn val="ctr"/>
        <c:lblOffset val="100"/>
        <c:noMultiLvlLbl val="0"/>
      </c:catAx>
      <c:valAx>
        <c:axId val="599015224"/>
        <c:scaling>
          <c:orientation val="minMax"/>
        </c:scaling>
        <c:delete val="1"/>
        <c:axPos val="t"/>
        <c:numFmt formatCode="0%" sourceLinked="0"/>
        <c:majorTickMark val="in"/>
        <c:minorTickMark val="none"/>
        <c:tickLblPos val="nextTo"/>
        <c:txPr>
          <a:bodyPr rot="-60000000" spcFirstLastPara="0" vertOverflow="ellipsis" vert="horz" wrap="square" anchor="ctr" anchorCtr="1"/>
          <a:lstStyle/>
          <a:p>
            <a:pPr>
              <a:defRPr lang="zh-CN" sz="900" b="0" i="0" u="none" strike="noStrike" kern="1200" baseline="0">
                <a:solidFill>
                  <a:sysClr val="windowText" lastClr="000000"/>
                </a:solidFill>
                <a:latin typeface="+mn-lt"/>
                <a:ea typeface="+mn-ea"/>
                <a:cs typeface="+mn-cs"/>
              </a:defRPr>
            </a:pPr>
          </a:p>
        </c:txPr>
        <c:crossAx val="599014832"/>
        <c:crosses val="autoZero"/>
        <c:crossBetween val="between"/>
      </c:valAx>
    </c:plotArea>
    <c:plotVisOnly val="1"/>
    <c:dispBlanksAs val="gap"/>
    <c:showDLblsOverMax val="0"/>
    <c:extLst>
      <c:ext uri="{0b15fc19-7d7d-44ad-8c2d-2c3a37ce22c3}">
        <chartProps xmlns="https://web.wps.cn/et/2018/main" chartId="{42595b4f-9c6e-4159-91d0-8b5192083f1b}"/>
      </c:ext>
    </c:extLst>
  </c:chart>
  <c:spPr>
    <a:solidFill>
      <a:schemeClr val="bg1"/>
    </a:solidFill>
    <a:ln w="9525" cap="flat" cmpd="sng" algn="ctr">
      <a:solidFill>
        <a:schemeClr val="tx1">
          <a:lumMod val="15000"/>
          <a:lumOff val="85000"/>
        </a:schemeClr>
      </a:solidFill>
      <a:prstDash val="solid"/>
      <a:round/>
    </a:ln>
  </c:spPr>
  <c:txPr>
    <a:bodyPr/>
    <a:lstStyle/>
    <a:p>
      <a:pPr>
        <a:defRPr lang="zh-CN" sz="900">
          <a:solidFill>
            <a:sysClr val="windowText" lastClr="000000"/>
          </a:solidFill>
        </a:defRPr>
      </a:pP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414543770264"/>
          <c:y val="0.122844729742"/>
          <c:w val="0.702844119752411"/>
          <c:h val="0.751606014813277"/>
        </c:manualLayout>
      </c:layout>
      <c:barChart>
        <c:barDir val="col"/>
        <c:grouping val="clustered"/>
        <c:varyColors val="0"/>
        <c:ser>
          <c:idx val="0"/>
          <c:order val="0"/>
          <c:tx>
            <c:strRef>
              <c:f>'4素质能力'!$O$4</c:f>
              <c:strCache>
                <c:ptCount val="1"/>
                <c:pt idx="0">
                  <c:v>满意度</c:v>
                </c:pt>
              </c:strCache>
            </c:strRef>
          </c:tx>
          <c:spPr>
            <a:solidFill>
              <a:schemeClr val="accent1"/>
            </a:solidFill>
            <a:ln>
              <a:noFill/>
              <a:prstDash val="solid"/>
            </a:ln>
          </c:spPr>
          <c:invertIfNegative val="0"/>
          <c:dLbls>
            <c:spPr>
              <a:noFill/>
              <a:ln>
                <a:noFill/>
                <a:prstDash val="solid"/>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'4素质能力'!$J$5:$J$9</c:f>
              <c:strCache>
                <c:ptCount val="5"/>
                <c:pt idx="0">
                  <c:v>政治素养</c:v>
                </c:pt>
                <c:pt idx="1">
                  <c:v>工作态度</c:v>
                </c:pt>
                <c:pt idx="2">
                  <c:v>专业技能</c:v>
                </c:pt>
                <c:pt idx="3">
                  <c:v>职业能力</c:v>
                </c:pt>
                <c:pt idx="4">
                  <c:v>发展潜力</c:v>
                </c:pt>
              </c:strCache>
            </c:strRef>
          </c:cat>
          <c:val>
            <c:numRef>
              <c:f>'4素质能力'!$O$5:$O$9</c:f>
              <c:numCache>
                <c:formatCode>0.00%</c:formatCode>
                <c:ptCount val="5"/>
                <c:pt idx="0">
                  <c:v>1</c:v>
                </c:pt>
                <c:pt idx="1">
                  <c:v>0.9955</c:v>
                </c:pt>
                <c:pt idx="2">
                  <c:v>0.991</c:v>
                </c:pt>
                <c:pt idx="3">
                  <c:v>0.9864</c:v>
                </c:pt>
                <c:pt idx="4">
                  <c:v>0.9955</c:v>
                </c:pt>
              </c:numCache>
            </c:numRef>
          </c:val>
        </c:ser>
        <c:dLbls>
          <c:showLegendKey val="0"/>
          <c:showVal val="0"/>
          <c:showCatName val="0"/>
          <c:showSerName val="0"/>
          <c:showPercent val="0"/>
          <c:showBubbleSize val="0"/>
        </c:dLbls>
        <c:gapWidth val="247"/>
        <c:axId val="599016008"/>
        <c:axId val="599016400"/>
      </c:barChart>
      <c:lineChart>
        <c:grouping val="standard"/>
        <c:varyColors val="0"/>
        <c:ser>
          <c:idx val="1"/>
          <c:order val="1"/>
          <c:tx>
            <c:strRef>
              <c:f>'4素质能力'!$P$4</c:f>
              <c:strCache>
                <c:ptCount val="1"/>
                <c:pt idx="0">
                  <c:v>均值</c:v>
                </c:pt>
              </c:strCache>
            </c:strRef>
          </c:tx>
          <c:spPr>
            <a:ln w="28575" cap="rnd" cmpd="sng" algn="ctr">
              <a:solidFill>
                <a:schemeClr val="accent2"/>
              </a:solidFill>
              <a:prstDash val="solid"/>
              <a:round/>
            </a:ln>
          </c:spPr>
          <c:marker>
            <c:symbol val="circle"/>
            <c:size val="5"/>
            <c:spPr>
              <a:solidFill>
                <a:schemeClr val="accent2"/>
              </a:solidFill>
              <a:ln w="9525" cap="flat" cmpd="sng" algn="ctr">
                <a:solidFill>
                  <a:schemeClr val="accent2"/>
                </a:solidFill>
                <a:prstDash val="solid"/>
                <a:round/>
              </a:ln>
            </c:spPr>
          </c:marker>
          <c:dLbls>
            <c:spPr>
              <a:solidFill>
                <a:sysClr val="window" lastClr="FFFFFF"/>
              </a:solidFill>
              <a:ln>
                <a:solidFill>
                  <a:sysClr val="windowText" lastClr="000000">
                    <a:lumOff val="35000"/>
                    <a:lumMod val="65000"/>
                  </a:sysClr>
                </a:solidFill>
                <a:prstDash val="solid"/>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'4素质能力'!$J$5:$J$9</c:f>
              <c:strCache>
                <c:ptCount val="5"/>
                <c:pt idx="0">
                  <c:v>政治素养</c:v>
                </c:pt>
                <c:pt idx="1">
                  <c:v>工作态度</c:v>
                </c:pt>
                <c:pt idx="2">
                  <c:v>专业技能</c:v>
                </c:pt>
                <c:pt idx="3">
                  <c:v>职业能力</c:v>
                </c:pt>
                <c:pt idx="4">
                  <c:v>发展潜力</c:v>
                </c:pt>
              </c:strCache>
            </c:strRef>
          </c:cat>
          <c:val>
            <c:numRef>
              <c:f>'4素质能力'!$P$5:$P$9</c:f>
              <c:numCache>
                <c:formatCode>0.00_ </c:formatCode>
                <c:ptCount val="5"/>
                <c:pt idx="0">
                  <c:v>4.6471</c:v>
                </c:pt>
                <c:pt idx="1">
                  <c:v>4.5924</c:v>
                </c:pt>
                <c:pt idx="2">
                  <c:v>4.4616</c:v>
                </c:pt>
                <c:pt idx="3">
                  <c:v>4.4438</c:v>
                </c:pt>
                <c:pt idx="4">
                  <c:v>4.5607</c:v>
                </c:pt>
              </c:numCache>
            </c:numRef>
          </c:val>
          <c:smooth val="0"/>
        </c:ser>
        <c:dLbls>
          <c:showLegendKey val="0"/>
          <c:showVal val="0"/>
          <c:showCatName val="0"/>
          <c:showSerName val="0"/>
          <c:showPercent val="0"/>
          <c:showBubbleSize val="0"/>
        </c:dLbls>
        <c:marker val="1"/>
        <c:smooth val="0"/>
        <c:axId val="599016792"/>
        <c:axId val="599017184"/>
      </c:lineChart>
      <c:catAx>
        <c:axId val="599016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prstDash val="solid"/>
            <a:round/>
          </a:ln>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crossAx val="599016400"/>
        <c:crosses val="autoZero"/>
        <c:auto val="1"/>
        <c:lblAlgn val="ctr"/>
        <c:lblOffset val="100"/>
        <c:noMultiLvlLbl val="0"/>
      </c:catAx>
      <c:valAx>
        <c:axId val="599016400"/>
        <c:scaling>
          <c:orientation val="minMax"/>
          <c:max val="1"/>
          <c:min val="0"/>
        </c:scaling>
        <c:delete val="0"/>
        <c:axPos val="l"/>
        <c:majorGridlines>
          <c:spPr>
            <a:ln w="9525" cap="flat" cmpd="sng" algn="ctr">
              <a:solidFill>
                <a:schemeClr val="tx1">
                  <a:lumMod val="15000"/>
                  <a:lumOff val="85000"/>
                </a:schemeClr>
              </a:solidFill>
              <a:prstDash val="solid"/>
              <a:round/>
            </a:ln>
          </c:spPr>
        </c:majorGridlines>
        <c:title>
          <c:tx>
            <c:rich>
              <a:bodyPr rot="-54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r>
                  <a:rPr lang="zh-CN" b="0"/>
                  <a:t>满意度</a:t>
                </a:r>
                <a:endParaRPr lang="zh-CN" b="0"/>
              </a:p>
            </c:rich>
          </c:tx>
          <c:layout/>
          <c:overlay val="0"/>
        </c:title>
        <c:numFmt formatCode="0%" sourceLinked="0"/>
        <c:majorTickMark val="none"/>
        <c:minorTickMark val="none"/>
        <c:tickLblPos val="nextTo"/>
        <c:spPr>
          <a:noFill/>
          <a:ln w="6350" cap="flat" cmpd="sng" algn="ctr">
            <a:noFill/>
            <a:prstDash val="solid"/>
            <a:round/>
          </a:ln>
        </c:spPr>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99016008"/>
        <c:crosses val="autoZero"/>
        <c:crossBetween val="between"/>
        <c:majorUnit val="0.1"/>
      </c:valAx>
      <c:catAx>
        <c:axId val="599016792"/>
        <c:scaling>
          <c:orientation val="minMax"/>
        </c:scaling>
        <c:delete val="1"/>
        <c:axPos val="b"/>
        <c:numFmt formatCode="General" sourceLinked="1"/>
        <c:majorTickMark val="none"/>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99017184"/>
        <c:crosses val="autoZero"/>
        <c:auto val="1"/>
        <c:lblAlgn val="ctr"/>
        <c:lblOffset val="100"/>
        <c:noMultiLvlLbl val="0"/>
      </c:catAx>
      <c:valAx>
        <c:axId val="599017184"/>
        <c:scaling>
          <c:orientation val="minMax"/>
          <c:max val="5"/>
          <c:min val="0"/>
        </c:scaling>
        <c:delete val="0"/>
        <c:axPos val="r"/>
        <c:title>
          <c:tx>
            <c:rich>
              <a:bodyPr rot="-54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r>
                  <a:rPr lang="zh-CN" b="0"/>
                  <a:t>均值</a:t>
                </a:r>
                <a:endParaRPr lang="zh-CN" b="0"/>
              </a:p>
            </c:rich>
          </c:tx>
          <c:layout/>
          <c:overlay val="0"/>
        </c:title>
        <c:numFmt formatCode="0.00_ " sourceLinked="1"/>
        <c:majorTickMark val="none"/>
        <c:minorTickMark val="none"/>
        <c:tickLblPos val="nextTo"/>
        <c:spPr>
          <a:noFill/>
          <a:ln w="6350" cap="flat" cmpd="sng" algn="ctr">
            <a:noFill/>
            <a:prstDash val="solid"/>
            <a:round/>
          </a:ln>
        </c:spPr>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99016792"/>
        <c:crosses val="max"/>
        <c:crossBetween val="between"/>
        <c:majorUnit val="0.5"/>
      </c:valAx>
    </c:plotArea>
    <c:plotVisOnly val="1"/>
    <c:dispBlanksAs val="zero"/>
    <c:showDLblsOverMax val="0"/>
    <c:extLst>
      <c:ext uri="{0b15fc19-7d7d-44ad-8c2d-2c3a37ce22c3}">
        <chartProps xmlns="https://web.wps.cn/et/2018/main" chartId="{5410e437-c32b-4aa4-ad48-529806345704}"/>
      </c:ext>
    </c:extLst>
  </c:chart>
  <c:spPr>
    <a:solidFill>
      <a:schemeClr val="bg1"/>
    </a:solidFill>
    <a:ln w="9525" cap="flat" cmpd="sng" algn="ctr">
      <a:solidFill>
        <a:schemeClr val="tx1">
          <a:lumMod val="15000"/>
          <a:lumOff val="85000"/>
        </a:schemeClr>
      </a:solidFill>
      <a:prstDash val="solid"/>
      <a:round/>
    </a:ln>
  </c:spPr>
  <c:txPr>
    <a:bodyPr/>
    <a:lstStyle/>
    <a:p>
      <a:pPr>
        <a:defRPr lang="zh-CN"/>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41021</Words>
  <Characters>46163</Characters>
  <Lines>97</Lines>
  <Paragraphs>97</Paragraphs>
  <TotalTime>13</TotalTime>
  <ScaleCrop>false</ScaleCrop>
  <LinksUpToDate>false</LinksUpToDate>
  <CharactersWithSpaces>46805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2023-11-21T00:52:00Z</dcterms:created>
  <dc:creator>Lenovo</dc:creator>
  <cp:lastModifiedBy>纪虹梅</cp:lastModifiedBy>
  <cp:lastPrinted>2024-11-29T08:48:00Z</cp:lastPrinted>
  <dcterms:modified xsi:type="dcterms:W3CDTF">2026-09-07T07:39:58Z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0F42AC7C0DC34122ABED0DE851B7B32B_13</vt:lpwstr>
  </property>
  <property fmtid="{D5CDD505-2E9C-101B-9397-08002B2CF9AE}" pid="4" name="KSOTemplateDocerSaveRecord">
    <vt:lpwstr>eyJoZGlkIjoiOTNkYTlmZTMxNzVjYjNlOWNlODE2MjY4MmM2MTVjODAiLCJ1c2VySWQiOiIxNTY2MDg2MDk1In0=</vt:lpwstr>
  </property>
</Properties>
</file>